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B5B9" w14:textId="124EB664" w:rsidR="00D72918" w:rsidRPr="00C11053" w:rsidRDefault="00D72918" w:rsidP="007447E3">
      <w:pPr>
        <w:spacing w:line="360" w:lineRule="auto"/>
        <w:jc w:val="both"/>
        <w:rPr>
          <w:b/>
          <w:bCs/>
        </w:rPr>
      </w:pPr>
    </w:p>
    <w:p w14:paraId="65C461C1" w14:textId="77777777" w:rsidR="00F71A61" w:rsidRPr="001C6BA3" w:rsidRDefault="00D72918" w:rsidP="007447E3">
      <w:pPr>
        <w:spacing w:line="360" w:lineRule="auto"/>
        <w:jc w:val="both"/>
        <w:rPr>
          <w:rFonts w:ascii="Arial" w:hAnsi="Arial" w:cs="Arial"/>
          <w:sz w:val="24"/>
          <w:szCs w:val="24"/>
        </w:rPr>
      </w:pPr>
      <w:r w:rsidRPr="001C6BA3">
        <w:rPr>
          <w:rFonts w:ascii="Arial" w:hAnsi="Arial" w:cs="Arial"/>
          <w:sz w:val="24"/>
          <w:szCs w:val="24"/>
        </w:rPr>
        <w:t xml:space="preserve">Buenos días </w:t>
      </w:r>
      <w:r w:rsidR="006A4398" w:rsidRPr="001C6BA3">
        <w:rPr>
          <w:rFonts w:ascii="Arial" w:hAnsi="Arial" w:cs="Arial"/>
          <w:sz w:val="24"/>
          <w:szCs w:val="24"/>
        </w:rPr>
        <w:t>damas y caballeros</w:t>
      </w:r>
      <w:r w:rsidRPr="001C6BA3">
        <w:rPr>
          <w:rFonts w:ascii="Arial" w:hAnsi="Arial" w:cs="Arial"/>
          <w:sz w:val="24"/>
          <w:szCs w:val="24"/>
        </w:rPr>
        <w:t xml:space="preserve">. </w:t>
      </w:r>
    </w:p>
    <w:p w14:paraId="13ACF67F" w14:textId="22662E54" w:rsidR="004D6779" w:rsidRPr="001C6BA3" w:rsidRDefault="004D6779" w:rsidP="007447E3">
      <w:pPr>
        <w:spacing w:line="360" w:lineRule="auto"/>
        <w:jc w:val="both"/>
        <w:rPr>
          <w:rFonts w:ascii="Arial" w:hAnsi="Arial" w:cs="Arial"/>
          <w:sz w:val="24"/>
          <w:szCs w:val="24"/>
        </w:rPr>
      </w:pPr>
      <w:r w:rsidRPr="001C6BA3">
        <w:rPr>
          <w:rFonts w:ascii="Arial" w:hAnsi="Arial" w:cs="Arial"/>
          <w:sz w:val="24"/>
          <w:szCs w:val="24"/>
        </w:rPr>
        <w:t xml:space="preserve">Hace cuatro años estuve en este mismo salón presentado por primera vez desde mi designación como superintendente de bancos de Panamá los resultados financieros </w:t>
      </w:r>
      <w:r w:rsidR="00336CEF" w:rsidRPr="001C6BA3">
        <w:rPr>
          <w:rFonts w:ascii="Arial" w:hAnsi="Arial" w:cs="Arial"/>
          <w:sz w:val="24"/>
          <w:szCs w:val="24"/>
        </w:rPr>
        <w:t xml:space="preserve">del CBI </w:t>
      </w:r>
      <w:r w:rsidRPr="001C6BA3">
        <w:rPr>
          <w:rFonts w:ascii="Arial" w:hAnsi="Arial" w:cs="Arial"/>
          <w:sz w:val="24"/>
          <w:szCs w:val="24"/>
        </w:rPr>
        <w:t>de</w:t>
      </w:r>
      <w:r w:rsidR="00336CEF" w:rsidRPr="001C6BA3">
        <w:rPr>
          <w:rFonts w:ascii="Arial" w:hAnsi="Arial" w:cs="Arial"/>
          <w:sz w:val="24"/>
          <w:szCs w:val="24"/>
        </w:rPr>
        <w:t>l</w:t>
      </w:r>
      <w:r w:rsidRPr="001C6BA3">
        <w:rPr>
          <w:rFonts w:ascii="Arial" w:hAnsi="Arial" w:cs="Arial"/>
          <w:sz w:val="24"/>
          <w:szCs w:val="24"/>
        </w:rPr>
        <w:t xml:space="preserve"> año 2019…</w:t>
      </w:r>
    </w:p>
    <w:p w14:paraId="45D1485B" w14:textId="0A930541" w:rsidR="00D72918" w:rsidRPr="001C6BA3" w:rsidRDefault="004D6779" w:rsidP="007447E3">
      <w:pPr>
        <w:spacing w:line="360" w:lineRule="auto"/>
        <w:jc w:val="both"/>
        <w:rPr>
          <w:rFonts w:ascii="Arial" w:hAnsi="Arial" w:cs="Arial"/>
          <w:sz w:val="24"/>
          <w:szCs w:val="24"/>
        </w:rPr>
      </w:pPr>
      <w:r w:rsidRPr="001C6BA3">
        <w:rPr>
          <w:rFonts w:ascii="Arial" w:hAnsi="Arial" w:cs="Arial"/>
          <w:sz w:val="24"/>
          <w:szCs w:val="24"/>
        </w:rPr>
        <w:t>Hoy</w:t>
      </w:r>
      <w:r w:rsidR="00336CEF" w:rsidRPr="001C6BA3">
        <w:rPr>
          <w:rFonts w:ascii="Arial" w:hAnsi="Arial" w:cs="Arial"/>
          <w:sz w:val="24"/>
          <w:szCs w:val="24"/>
        </w:rPr>
        <w:t>,</w:t>
      </w:r>
      <w:r w:rsidRPr="001C6BA3">
        <w:rPr>
          <w:rFonts w:ascii="Arial" w:hAnsi="Arial" w:cs="Arial"/>
          <w:sz w:val="24"/>
          <w:szCs w:val="24"/>
        </w:rPr>
        <w:t xml:space="preserve"> a</w:t>
      </w:r>
      <w:r w:rsidR="00D72918" w:rsidRPr="001C6BA3">
        <w:rPr>
          <w:rFonts w:ascii="Arial" w:hAnsi="Arial" w:cs="Arial"/>
          <w:sz w:val="24"/>
          <w:szCs w:val="24"/>
        </w:rPr>
        <w:t xml:space="preserve">gradezco la oportunidad de presentar, por quinta </w:t>
      </w:r>
      <w:r w:rsidRPr="001C6BA3">
        <w:rPr>
          <w:rFonts w:ascii="Arial" w:hAnsi="Arial" w:cs="Arial"/>
          <w:sz w:val="24"/>
          <w:szCs w:val="24"/>
        </w:rPr>
        <w:t>ocasión</w:t>
      </w:r>
      <w:r w:rsidR="00D72918" w:rsidRPr="001C6BA3">
        <w:rPr>
          <w:rFonts w:ascii="Arial" w:hAnsi="Arial" w:cs="Arial"/>
          <w:sz w:val="24"/>
          <w:szCs w:val="24"/>
        </w:rPr>
        <w:t xml:space="preserve"> consecutiva, los resultados financieros del CBI</w:t>
      </w:r>
      <w:r w:rsidRPr="001C6BA3">
        <w:rPr>
          <w:rFonts w:ascii="Arial" w:hAnsi="Arial" w:cs="Arial"/>
          <w:sz w:val="24"/>
          <w:szCs w:val="24"/>
        </w:rPr>
        <w:t xml:space="preserve"> del año 2023</w:t>
      </w:r>
      <w:r w:rsidR="00D72918" w:rsidRPr="001C6BA3">
        <w:rPr>
          <w:rFonts w:ascii="Arial" w:hAnsi="Arial" w:cs="Arial"/>
          <w:sz w:val="24"/>
          <w:szCs w:val="24"/>
        </w:rPr>
        <w:t>. Hemos recorrido</w:t>
      </w:r>
      <w:r w:rsidRPr="001C6BA3">
        <w:rPr>
          <w:rFonts w:ascii="Arial" w:hAnsi="Arial" w:cs="Arial"/>
          <w:sz w:val="24"/>
          <w:szCs w:val="24"/>
        </w:rPr>
        <w:t xml:space="preserve"> parte </w:t>
      </w:r>
      <w:r w:rsidR="00336CEF" w:rsidRPr="001C6BA3">
        <w:rPr>
          <w:rFonts w:ascii="Arial" w:hAnsi="Arial" w:cs="Arial"/>
          <w:sz w:val="24"/>
          <w:szCs w:val="24"/>
        </w:rPr>
        <w:t>de un</w:t>
      </w:r>
      <w:r w:rsidR="00D72918" w:rsidRPr="001C6BA3">
        <w:rPr>
          <w:rFonts w:ascii="Arial" w:hAnsi="Arial" w:cs="Arial"/>
          <w:sz w:val="24"/>
          <w:szCs w:val="24"/>
        </w:rPr>
        <w:t xml:space="preserve"> quinquenio sin precedentes, marcado por desafíos y eventos globales de gran magnitud que no sólo han impactado a la humanidad en su conjunto, sino que también han dejado su huella en nuestro país en múltiples formas, y la banca no ha sido la excepción en este tema. Estos momentos han puesto a prueba nuestra resiliencia y adaptabilidad, a la vez que han forjado nuestro camino hacia el futuro.</w:t>
      </w:r>
    </w:p>
    <w:p w14:paraId="08D1B636" w14:textId="14D4BB95" w:rsidR="00D72918" w:rsidRPr="001C6BA3" w:rsidRDefault="00D72918" w:rsidP="007447E3">
      <w:pPr>
        <w:spacing w:line="360" w:lineRule="auto"/>
        <w:jc w:val="both"/>
        <w:rPr>
          <w:rFonts w:ascii="Arial" w:hAnsi="Arial" w:cs="Arial"/>
          <w:sz w:val="24"/>
          <w:szCs w:val="24"/>
        </w:rPr>
      </w:pPr>
      <w:r w:rsidRPr="001C6BA3">
        <w:rPr>
          <w:rFonts w:ascii="Arial" w:hAnsi="Arial" w:cs="Arial"/>
          <w:sz w:val="24"/>
          <w:szCs w:val="24"/>
        </w:rPr>
        <w:t xml:space="preserve">Entre los eventos más destacados y determinantes, cuyos efectos continúan resonando a nivel internacional, se encuentran la pandemia, la invasión </w:t>
      </w:r>
      <w:r w:rsidR="00616F04" w:rsidRPr="001C6BA3">
        <w:rPr>
          <w:rFonts w:ascii="Arial" w:hAnsi="Arial" w:cs="Arial"/>
          <w:sz w:val="24"/>
          <w:szCs w:val="24"/>
        </w:rPr>
        <w:t>rusa</w:t>
      </w:r>
      <w:r w:rsidRPr="001C6BA3">
        <w:rPr>
          <w:rFonts w:ascii="Arial" w:hAnsi="Arial" w:cs="Arial"/>
          <w:sz w:val="24"/>
          <w:szCs w:val="24"/>
        </w:rPr>
        <w:t xml:space="preserve"> </w:t>
      </w:r>
      <w:r w:rsidR="00616F04" w:rsidRPr="001C6BA3">
        <w:rPr>
          <w:rFonts w:ascii="Arial" w:hAnsi="Arial" w:cs="Arial"/>
          <w:sz w:val="24"/>
          <w:szCs w:val="24"/>
        </w:rPr>
        <w:t>a Ucrania</w:t>
      </w:r>
      <w:r w:rsidRPr="001C6BA3">
        <w:rPr>
          <w:rFonts w:ascii="Arial" w:hAnsi="Arial" w:cs="Arial"/>
          <w:sz w:val="24"/>
          <w:szCs w:val="24"/>
        </w:rPr>
        <w:t xml:space="preserve">, el aumento de las tasas de interés internacionales más pronunciado en las últimas 3 décadas, la quiebra de bancos medianos en EE. UU. y bancos globales en Europa, y el reciente conflicto en oriente medio. </w:t>
      </w:r>
    </w:p>
    <w:p w14:paraId="7047DF5A" w14:textId="2725F218" w:rsidR="00D72918" w:rsidRPr="001C6BA3" w:rsidRDefault="00D72918" w:rsidP="007447E3">
      <w:pPr>
        <w:spacing w:line="360" w:lineRule="auto"/>
        <w:jc w:val="both"/>
        <w:rPr>
          <w:rFonts w:ascii="Arial" w:hAnsi="Arial" w:cs="Arial"/>
          <w:sz w:val="24"/>
          <w:szCs w:val="24"/>
        </w:rPr>
      </w:pPr>
      <w:r w:rsidRPr="001C6BA3">
        <w:rPr>
          <w:rFonts w:ascii="Arial" w:hAnsi="Arial" w:cs="Arial"/>
          <w:sz w:val="24"/>
          <w:szCs w:val="24"/>
        </w:rPr>
        <w:t>A pesar de estos retos, nuestros bancos ha</w:t>
      </w:r>
      <w:r w:rsidR="00382F7E" w:rsidRPr="001C6BA3">
        <w:rPr>
          <w:rFonts w:ascii="Arial" w:hAnsi="Arial" w:cs="Arial"/>
          <w:sz w:val="24"/>
          <w:szCs w:val="24"/>
        </w:rPr>
        <w:t>n</w:t>
      </w:r>
      <w:r w:rsidRPr="001C6BA3">
        <w:rPr>
          <w:rFonts w:ascii="Arial" w:hAnsi="Arial" w:cs="Arial"/>
          <w:sz w:val="24"/>
          <w:szCs w:val="24"/>
        </w:rPr>
        <w:t xml:space="preserve"> demostrado una capacidad notable para enfrentar adversidades, gracias a políticas </w:t>
      </w:r>
      <w:r w:rsidR="004D6779" w:rsidRPr="001C6BA3">
        <w:rPr>
          <w:rFonts w:ascii="Arial" w:hAnsi="Arial" w:cs="Arial"/>
          <w:sz w:val="24"/>
          <w:szCs w:val="24"/>
        </w:rPr>
        <w:t>macro prudenciales</w:t>
      </w:r>
      <w:r w:rsidRPr="001C6BA3">
        <w:rPr>
          <w:rFonts w:ascii="Arial" w:hAnsi="Arial" w:cs="Arial"/>
          <w:sz w:val="24"/>
          <w:szCs w:val="24"/>
        </w:rPr>
        <w:t xml:space="preserve"> oportunas.  Hacia adelante, seguiremos trabajando para equilibrar la supervisión rigurosa </w:t>
      </w:r>
      <w:r w:rsidR="004D6779" w:rsidRPr="001C6BA3">
        <w:rPr>
          <w:rFonts w:ascii="Arial" w:hAnsi="Arial" w:cs="Arial"/>
          <w:sz w:val="24"/>
          <w:szCs w:val="24"/>
        </w:rPr>
        <w:t>en</w:t>
      </w:r>
      <w:r w:rsidRPr="001C6BA3">
        <w:rPr>
          <w:rFonts w:ascii="Arial" w:hAnsi="Arial" w:cs="Arial"/>
          <w:sz w:val="24"/>
          <w:szCs w:val="24"/>
        </w:rPr>
        <w:t xml:space="preserve"> un entorno dinámico, que permita evitar mayores afectaciones a los ahorristas y mantener un sistema financiero sólido y estable.</w:t>
      </w:r>
    </w:p>
    <w:p w14:paraId="759B0E88" w14:textId="77777777" w:rsidR="007541C8" w:rsidRPr="001C6BA3" w:rsidRDefault="00D72918" w:rsidP="007447E3">
      <w:pPr>
        <w:spacing w:line="360" w:lineRule="auto"/>
        <w:jc w:val="both"/>
        <w:rPr>
          <w:rFonts w:ascii="Arial" w:hAnsi="Arial" w:cs="Arial"/>
          <w:sz w:val="24"/>
          <w:szCs w:val="24"/>
        </w:rPr>
      </w:pPr>
      <w:r w:rsidRPr="001C6BA3">
        <w:rPr>
          <w:rFonts w:ascii="Arial" w:hAnsi="Arial" w:cs="Arial"/>
          <w:sz w:val="24"/>
          <w:szCs w:val="24"/>
        </w:rPr>
        <w:t xml:space="preserve">Pero no todo ha sido negativo; también hemos sido testigos de desarrollos sumamente positivos. Un hito destacable es la exitosa salida de nuestro país de la lista del Grupo de Acción Financiera Internacional (GAFI). Este logro realza nuestra imagen a nivel internacional enviando una señal clara y positiva a los mercados globales. Este éxito es el resultado del esfuerzo conjunto y la colaboración sin precedentes entre múltiples actores de los sectores público y privado, y refleja de </w:t>
      </w:r>
      <w:r w:rsidRPr="001C6BA3">
        <w:rPr>
          <w:rFonts w:ascii="Arial" w:hAnsi="Arial" w:cs="Arial"/>
          <w:sz w:val="24"/>
          <w:szCs w:val="24"/>
        </w:rPr>
        <w:lastRenderedPageBreak/>
        <w:t>manera elocuente que, cuando trabajamos en armonía</w:t>
      </w:r>
      <w:r w:rsidR="002053C4" w:rsidRPr="001C6BA3">
        <w:rPr>
          <w:rFonts w:ascii="Arial" w:hAnsi="Arial" w:cs="Arial"/>
          <w:sz w:val="24"/>
          <w:szCs w:val="24"/>
        </w:rPr>
        <w:t xml:space="preserve"> como país</w:t>
      </w:r>
      <w:r w:rsidRPr="001C6BA3">
        <w:rPr>
          <w:rFonts w:ascii="Arial" w:hAnsi="Arial" w:cs="Arial"/>
          <w:sz w:val="24"/>
          <w:szCs w:val="24"/>
        </w:rPr>
        <w:t xml:space="preserve"> hacia un objetivo común, </w:t>
      </w:r>
      <w:r w:rsidR="002053C4" w:rsidRPr="001C6BA3">
        <w:rPr>
          <w:rFonts w:ascii="Arial" w:hAnsi="Arial" w:cs="Arial"/>
          <w:sz w:val="24"/>
          <w:szCs w:val="24"/>
        </w:rPr>
        <w:t>con un liderazgo claro</w:t>
      </w:r>
      <w:r w:rsidR="003E3237" w:rsidRPr="001C6BA3">
        <w:rPr>
          <w:rFonts w:ascii="Arial" w:hAnsi="Arial" w:cs="Arial"/>
          <w:sz w:val="24"/>
          <w:szCs w:val="24"/>
        </w:rPr>
        <w:t xml:space="preserve"> al más alto nivel</w:t>
      </w:r>
      <w:r w:rsidR="002053C4" w:rsidRPr="001C6BA3">
        <w:rPr>
          <w:rFonts w:ascii="Arial" w:hAnsi="Arial" w:cs="Arial"/>
          <w:sz w:val="24"/>
          <w:szCs w:val="24"/>
        </w:rPr>
        <w:t xml:space="preserve">, </w:t>
      </w:r>
      <w:r w:rsidRPr="001C6BA3">
        <w:rPr>
          <w:rFonts w:ascii="Arial" w:hAnsi="Arial" w:cs="Arial"/>
          <w:sz w:val="24"/>
          <w:szCs w:val="24"/>
        </w:rPr>
        <w:t xml:space="preserve">somos capaces de impulsar cambios significativos y positivos para </w:t>
      </w:r>
      <w:r w:rsidR="002053C4" w:rsidRPr="001C6BA3">
        <w:rPr>
          <w:rFonts w:ascii="Arial" w:hAnsi="Arial" w:cs="Arial"/>
          <w:sz w:val="24"/>
          <w:szCs w:val="24"/>
        </w:rPr>
        <w:t>Panamá</w:t>
      </w:r>
      <w:r w:rsidRPr="001C6BA3">
        <w:rPr>
          <w:rFonts w:ascii="Arial" w:hAnsi="Arial" w:cs="Arial"/>
          <w:sz w:val="24"/>
          <w:szCs w:val="24"/>
        </w:rPr>
        <w:t xml:space="preserve">. </w:t>
      </w:r>
    </w:p>
    <w:p w14:paraId="10506035" w14:textId="7A8DA4A7" w:rsidR="00D72918" w:rsidRPr="001C6BA3" w:rsidRDefault="007541C8" w:rsidP="007447E3">
      <w:pPr>
        <w:spacing w:line="360" w:lineRule="auto"/>
        <w:jc w:val="both"/>
        <w:rPr>
          <w:rFonts w:ascii="Arial" w:hAnsi="Arial" w:cs="Arial"/>
          <w:sz w:val="24"/>
          <w:szCs w:val="24"/>
        </w:rPr>
      </w:pPr>
      <w:r w:rsidRPr="001C6BA3">
        <w:rPr>
          <w:rFonts w:ascii="Arial" w:hAnsi="Arial" w:cs="Arial"/>
          <w:sz w:val="24"/>
          <w:szCs w:val="24"/>
        </w:rPr>
        <w:t xml:space="preserve">Abrigamos la esperanza que luego de cumplir </w:t>
      </w:r>
      <w:r w:rsidR="00D009C4" w:rsidRPr="001C6BA3">
        <w:rPr>
          <w:rFonts w:ascii="Arial" w:hAnsi="Arial" w:cs="Arial"/>
          <w:sz w:val="24"/>
          <w:szCs w:val="24"/>
        </w:rPr>
        <w:t xml:space="preserve">también </w:t>
      </w:r>
      <w:r w:rsidRPr="001C6BA3">
        <w:rPr>
          <w:rFonts w:ascii="Arial" w:hAnsi="Arial" w:cs="Arial"/>
          <w:sz w:val="24"/>
          <w:szCs w:val="24"/>
        </w:rPr>
        <w:t>con todo lo que corresponde podamos recibir</w:t>
      </w:r>
      <w:r w:rsidR="002053C4" w:rsidRPr="001C6BA3">
        <w:rPr>
          <w:rFonts w:ascii="Arial" w:hAnsi="Arial" w:cs="Arial"/>
          <w:sz w:val="24"/>
          <w:szCs w:val="24"/>
        </w:rPr>
        <w:t xml:space="preserve"> </w:t>
      </w:r>
      <w:r w:rsidRPr="001C6BA3">
        <w:rPr>
          <w:rFonts w:ascii="Arial" w:hAnsi="Arial" w:cs="Arial"/>
          <w:sz w:val="24"/>
          <w:szCs w:val="24"/>
        </w:rPr>
        <w:t xml:space="preserve">de la Unión Europea noticias positivas para Panamá respecto a la lista relacionada con la prevención del blanqueo de capitales, lo cual nos </w:t>
      </w:r>
      <w:r w:rsidR="004D6779" w:rsidRPr="001C6BA3">
        <w:rPr>
          <w:rFonts w:ascii="Arial" w:hAnsi="Arial" w:cs="Arial"/>
          <w:sz w:val="24"/>
          <w:szCs w:val="24"/>
        </w:rPr>
        <w:t>consolidar</w:t>
      </w:r>
      <w:r w:rsidRPr="001C6BA3">
        <w:rPr>
          <w:rFonts w:ascii="Arial" w:hAnsi="Arial" w:cs="Arial"/>
          <w:sz w:val="24"/>
          <w:szCs w:val="24"/>
        </w:rPr>
        <w:t>ía aún más</w:t>
      </w:r>
      <w:r w:rsidR="003E3237" w:rsidRPr="001C6BA3">
        <w:rPr>
          <w:rFonts w:ascii="Arial" w:hAnsi="Arial" w:cs="Arial"/>
          <w:sz w:val="24"/>
          <w:szCs w:val="24"/>
        </w:rPr>
        <w:t xml:space="preserve"> como plaza financiera </w:t>
      </w:r>
      <w:r w:rsidR="00336CEF" w:rsidRPr="001C6BA3">
        <w:rPr>
          <w:rFonts w:ascii="Arial" w:hAnsi="Arial" w:cs="Arial"/>
          <w:sz w:val="24"/>
          <w:szCs w:val="24"/>
        </w:rPr>
        <w:t xml:space="preserve">seria, </w:t>
      </w:r>
      <w:r w:rsidR="003E3237" w:rsidRPr="001C6BA3">
        <w:rPr>
          <w:rFonts w:ascii="Arial" w:hAnsi="Arial" w:cs="Arial"/>
          <w:sz w:val="24"/>
          <w:szCs w:val="24"/>
        </w:rPr>
        <w:t xml:space="preserve">competitiva y de </w:t>
      </w:r>
      <w:r w:rsidR="00F71A61" w:rsidRPr="001C6BA3">
        <w:rPr>
          <w:rFonts w:ascii="Arial" w:hAnsi="Arial" w:cs="Arial"/>
          <w:sz w:val="24"/>
          <w:szCs w:val="24"/>
        </w:rPr>
        <w:t xml:space="preserve">reconocido </w:t>
      </w:r>
      <w:r w:rsidR="003E3237" w:rsidRPr="001C6BA3">
        <w:rPr>
          <w:rFonts w:ascii="Arial" w:hAnsi="Arial" w:cs="Arial"/>
          <w:sz w:val="24"/>
          <w:szCs w:val="24"/>
        </w:rPr>
        <w:t>prestigio</w:t>
      </w:r>
      <w:r w:rsidR="002053C4" w:rsidRPr="001C6BA3">
        <w:rPr>
          <w:rFonts w:ascii="Arial" w:hAnsi="Arial" w:cs="Arial"/>
          <w:sz w:val="24"/>
          <w:szCs w:val="24"/>
        </w:rPr>
        <w:t>.</w:t>
      </w:r>
    </w:p>
    <w:p w14:paraId="0C495AFD" w14:textId="03D190A5" w:rsidR="00290A41" w:rsidRPr="001C6BA3" w:rsidRDefault="00722220" w:rsidP="007447E3">
      <w:pPr>
        <w:spacing w:line="360" w:lineRule="auto"/>
        <w:jc w:val="both"/>
        <w:rPr>
          <w:rFonts w:ascii="Arial" w:hAnsi="Arial" w:cs="Arial"/>
          <w:sz w:val="24"/>
          <w:szCs w:val="24"/>
        </w:rPr>
      </w:pPr>
      <w:r w:rsidRPr="001C6BA3">
        <w:rPr>
          <w:rFonts w:ascii="Arial" w:hAnsi="Arial" w:cs="Arial"/>
          <w:sz w:val="24"/>
          <w:szCs w:val="24"/>
        </w:rPr>
        <w:t>C</w:t>
      </w:r>
      <w:r w:rsidR="00290A41" w:rsidRPr="001C6BA3">
        <w:rPr>
          <w:rFonts w:ascii="Arial" w:hAnsi="Arial" w:cs="Arial"/>
          <w:sz w:val="24"/>
          <w:szCs w:val="24"/>
        </w:rPr>
        <w:t xml:space="preserve">onsideramos que es importante que el CBI sea un referente de buenas prácticas de sostenibilidad. Por ello, los criterios ASG (Ambiente-Social-Gobernanza) son una orientación clave para una gestión responsable de la industria, así como son fundamentales para la competitividad sostenible de nuestro querido país, es por esta razón que nos gustaría invitarlos a que juntos sigamos trabajando para que Panamá sea un hub de finanzas sostenibles y que además sea inspiración y referente en la región. Asimismo, desde la SBP durante la segunda mitad del año los estaremos invitando a una presentación especial donde les contaremos de nuestra contribución por el desarrollo sostenible del país en los tres grandes ejes que estamos enfocando nuestro propósito y nuestro legado: las personas, el planeta y la prosperidad. </w:t>
      </w:r>
    </w:p>
    <w:p w14:paraId="642611C3" w14:textId="69BCBA8D" w:rsidR="00865F46" w:rsidRPr="001C6BA3" w:rsidRDefault="00D72918" w:rsidP="007447E3">
      <w:pPr>
        <w:spacing w:line="360" w:lineRule="auto"/>
        <w:jc w:val="both"/>
        <w:rPr>
          <w:rFonts w:ascii="Arial" w:hAnsi="Arial" w:cs="Arial"/>
          <w:sz w:val="24"/>
          <w:szCs w:val="24"/>
        </w:rPr>
      </w:pPr>
      <w:r w:rsidRPr="001C6BA3">
        <w:rPr>
          <w:rFonts w:ascii="Arial" w:hAnsi="Arial" w:cs="Arial"/>
          <w:sz w:val="24"/>
          <w:szCs w:val="24"/>
        </w:rPr>
        <w:t>Con este preámbulo, enfocamos nuestra atención en los detalles financieros que marcarán nuestro camino hacia el futuro como una plaza financiera líder en LATAM.</w:t>
      </w:r>
    </w:p>
    <w:p w14:paraId="27F78DA0" w14:textId="77777777" w:rsidR="001C6BA3" w:rsidRDefault="001C6BA3" w:rsidP="007447E3">
      <w:pPr>
        <w:spacing w:line="360" w:lineRule="auto"/>
        <w:jc w:val="both"/>
        <w:rPr>
          <w:rFonts w:ascii="Arial" w:hAnsi="Arial" w:cs="Arial"/>
          <w:b/>
          <w:bCs/>
          <w:sz w:val="24"/>
          <w:szCs w:val="24"/>
          <w:lang w:val="es-ES"/>
        </w:rPr>
      </w:pPr>
    </w:p>
    <w:p w14:paraId="4B24E579" w14:textId="084DB3CE" w:rsidR="00D72918" w:rsidRPr="001C6BA3" w:rsidRDefault="00891504" w:rsidP="007447E3">
      <w:pPr>
        <w:spacing w:line="360" w:lineRule="auto"/>
        <w:jc w:val="both"/>
        <w:rPr>
          <w:rFonts w:ascii="Arial" w:hAnsi="Arial" w:cs="Arial"/>
          <w:b/>
          <w:bCs/>
          <w:sz w:val="32"/>
          <w:szCs w:val="32"/>
          <w:lang w:val="es-ES"/>
        </w:rPr>
      </w:pPr>
      <w:r w:rsidRPr="001C6BA3">
        <w:rPr>
          <w:rFonts w:ascii="Arial" w:hAnsi="Arial" w:cs="Arial"/>
          <w:b/>
          <w:bCs/>
          <w:sz w:val="32"/>
          <w:szCs w:val="32"/>
          <w:lang w:val="es-ES"/>
        </w:rPr>
        <w:t>Entorno</w:t>
      </w:r>
      <w:r w:rsidR="00D72918" w:rsidRPr="001C6BA3">
        <w:rPr>
          <w:rFonts w:ascii="Arial" w:hAnsi="Arial" w:cs="Arial"/>
          <w:b/>
          <w:bCs/>
          <w:sz w:val="32"/>
          <w:szCs w:val="32"/>
          <w:lang w:val="es-ES"/>
        </w:rPr>
        <w:t xml:space="preserve"> Económico</w:t>
      </w:r>
    </w:p>
    <w:p w14:paraId="61842620" w14:textId="77777777" w:rsidR="00D72918" w:rsidRPr="001C6BA3" w:rsidRDefault="00D72918" w:rsidP="007447E3">
      <w:pPr>
        <w:spacing w:line="360" w:lineRule="auto"/>
        <w:jc w:val="both"/>
        <w:rPr>
          <w:rFonts w:ascii="Arial" w:hAnsi="Arial" w:cs="Arial"/>
          <w:sz w:val="24"/>
          <w:szCs w:val="24"/>
          <w:lang w:val="es-ES"/>
        </w:rPr>
      </w:pPr>
      <w:r w:rsidRPr="001C6BA3">
        <w:rPr>
          <w:rFonts w:ascii="Arial" w:hAnsi="Arial" w:cs="Arial"/>
          <w:sz w:val="24"/>
          <w:szCs w:val="24"/>
          <w:lang w:val="es-ES"/>
        </w:rPr>
        <w:t>Comenzaré con un análisis breve de la revisión del desempeño económico internacional y en nuestro país como contexto de lo que ha venido ocurriendo en Panamá, y el desempeño de nuestro CBI.</w:t>
      </w:r>
    </w:p>
    <w:p w14:paraId="25B78B4B" w14:textId="77777777" w:rsidR="00D72918" w:rsidRPr="001C6BA3" w:rsidRDefault="00D72918"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El cierre de 2023 se destacó por desafiar los pronósticos de recesión global, logrando además un progreso significativo en la lucha contra la inflación. Contrario </w:t>
      </w:r>
      <w:r w:rsidRPr="001C6BA3">
        <w:rPr>
          <w:rFonts w:ascii="Arial" w:hAnsi="Arial" w:cs="Arial"/>
          <w:sz w:val="24"/>
          <w:szCs w:val="24"/>
          <w:lang w:val="es-ES"/>
        </w:rPr>
        <w:lastRenderedPageBreak/>
        <w:t>a las expectativas de una recesión, la economía mundial experimentó un crecimiento considerablemente mejor al anticipado, cerrando el año con un crecimiento de 3.1%, superando ampliamente la previsión inicial de 1.7%.</w:t>
      </w:r>
    </w:p>
    <w:p w14:paraId="0D6784C8" w14:textId="77777777" w:rsidR="00D72918" w:rsidRPr="001C6BA3" w:rsidRDefault="00D72918" w:rsidP="007447E3">
      <w:pPr>
        <w:spacing w:line="360" w:lineRule="auto"/>
        <w:jc w:val="both"/>
        <w:rPr>
          <w:rFonts w:ascii="Arial" w:hAnsi="Arial" w:cs="Arial"/>
          <w:sz w:val="24"/>
          <w:szCs w:val="24"/>
          <w:lang w:val="es-ES"/>
        </w:rPr>
      </w:pPr>
      <w:r w:rsidRPr="001C6BA3">
        <w:rPr>
          <w:rFonts w:ascii="Arial" w:hAnsi="Arial" w:cs="Arial"/>
          <w:sz w:val="24"/>
          <w:szCs w:val="24"/>
          <w:lang w:val="es-ES"/>
        </w:rPr>
        <w:t>Estados Unidos jugó un papel crucial en este crecimiento, al superar las expectativas iniciales con un aumento del 2.5% en su economía; seis veces más de la expectativa que se tenía hace un año. Similarmente, la mayoría de los países excedieron sus pronósticos de crecimiento, entre ellos Panamá.  En materia de inflación, se espera que la tendencia a la baja continúe a nivel internacional durante 2024, lo que podría sugerir hacia adelante reducciones en las tasas de interés de referencia, pero lo cual habrá que ver con cautela.</w:t>
      </w:r>
    </w:p>
    <w:p w14:paraId="575D998A" w14:textId="0001CD81" w:rsidR="00D72918" w:rsidRPr="001C6BA3" w:rsidRDefault="00D72918"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En el caso de Panamá, si bien el país tuvo uno de los impactos más severos en términos económicos durante la pandemia a nivel global, el país pudo reponerse de manera relativamente rápida y </w:t>
      </w:r>
      <w:r w:rsidR="000A12D5" w:rsidRPr="001C6BA3">
        <w:rPr>
          <w:rFonts w:ascii="Arial" w:hAnsi="Arial" w:cs="Arial"/>
          <w:sz w:val="24"/>
          <w:szCs w:val="24"/>
          <w:lang w:val="es-ES"/>
        </w:rPr>
        <w:t>anotó</w:t>
      </w:r>
      <w:r w:rsidRPr="001C6BA3">
        <w:rPr>
          <w:rFonts w:ascii="Arial" w:hAnsi="Arial" w:cs="Arial"/>
          <w:sz w:val="24"/>
          <w:szCs w:val="24"/>
          <w:lang w:val="es-ES"/>
        </w:rPr>
        <w:t xml:space="preserve"> uno de los </w:t>
      </w:r>
      <w:r w:rsidR="000A12D5" w:rsidRPr="001C6BA3">
        <w:rPr>
          <w:rFonts w:ascii="Arial" w:hAnsi="Arial" w:cs="Arial"/>
          <w:sz w:val="24"/>
          <w:szCs w:val="24"/>
          <w:lang w:val="es-ES"/>
        </w:rPr>
        <w:t>incrementos</w:t>
      </w:r>
      <w:r w:rsidRPr="001C6BA3">
        <w:rPr>
          <w:rFonts w:ascii="Arial" w:hAnsi="Arial" w:cs="Arial"/>
          <w:sz w:val="24"/>
          <w:szCs w:val="24"/>
          <w:lang w:val="es-ES"/>
        </w:rPr>
        <w:t xml:space="preserve"> más interesantes de la región y el mundo, creciendo 15.8% en 2021, 10.8% en 2022 y se estima que habremos crecido 7% en 2023.</w:t>
      </w:r>
    </w:p>
    <w:p w14:paraId="3CD81568" w14:textId="77777777" w:rsidR="00D72918" w:rsidRPr="001C6BA3" w:rsidRDefault="00D72918" w:rsidP="007447E3">
      <w:pPr>
        <w:spacing w:line="360" w:lineRule="auto"/>
        <w:jc w:val="both"/>
        <w:rPr>
          <w:rFonts w:ascii="Arial" w:hAnsi="Arial" w:cs="Arial"/>
          <w:sz w:val="24"/>
          <w:szCs w:val="24"/>
          <w:lang w:val="es-ES"/>
        </w:rPr>
      </w:pPr>
      <w:r w:rsidRPr="001C6BA3">
        <w:rPr>
          <w:rFonts w:ascii="Arial" w:hAnsi="Arial" w:cs="Arial"/>
          <w:sz w:val="24"/>
          <w:szCs w:val="24"/>
          <w:lang w:val="es-ES"/>
        </w:rPr>
        <w:t>Los últimos datos y proyecciones apuntan a que 2024 podría presentar desafíos en el crecimiento económico, con expectativas de un ritmo más bajo debido a eventos recientes. Esto podría impactar negativamente en la economía general y en el sector financiero.</w:t>
      </w:r>
    </w:p>
    <w:p w14:paraId="1D27AFFD" w14:textId="74AE71BB" w:rsidR="00D72918" w:rsidRPr="001C6BA3" w:rsidRDefault="00D72918"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La economía de Panamá experimentó un crecimiento acelerado hasta el tercer trimestre de 2023, pero los eventos de finales de 2023 podrían haber provocado una desaceleración hacia finales de año y para este 2024. Las proyecciones de crecimiento para este año varían entre el 1% y el 4.6%, </w:t>
      </w:r>
      <w:r w:rsidR="00382F7E" w:rsidRPr="001C6BA3">
        <w:rPr>
          <w:rFonts w:ascii="Arial" w:hAnsi="Arial" w:cs="Arial"/>
          <w:sz w:val="24"/>
          <w:szCs w:val="24"/>
          <w:lang w:val="es-ES"/>
        </w:rPr>
        <w:t>según</w:t>
      </w:r>
      <w:r w:rsidRPr="001C6BA3">
        <w:rPr>
          <w:rFonts w:ascii="Arial" w:hAnsi="Arial" w:cs="Arial"/>
          <w:sz w:val="24"/>
          <w:szCs w:val="24"/>
          <w:lang w:val="es-ES"/>
        </w:rPr>
        <w:t xml:space="preserve"> el Ministerio de Economía y Finanzas estimando un crecimiento cercano al 2.5%, por debajo del potencial del país y reflejando la incertidumbre y los desafíos a corto y mediano plazo. </w:t>
      </w:r>
      <w:r w:rsidRPr="001C6BA3">
        <w:rPr>
          <w:rFonts w:ascii="Arial" w:hAnsi="Arial" w:cs="Arial"/>
          <w:i/>
          <w:iCs/>
          <w:sz w:val="24"/>
          <w:szCs w:val="24"/>
          <w:lang w:val="es-ES"/>
        </w:rPr>
        <w:t>Este no es un tema menor.</w:t>
      </w:r>
    </w:p>
    <w:p w14:paraId="16972CB8" w14:textId="7D9EE1F1" w:rsidR="00D72918" w:rsidRPr="001C6BA3" w:rsidRDefault="00D72918"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A nivel más desagregado, anticipamos una desaceleración en varias de las ramas de actividad para el año 2024, salvo algunas excepciones, como en los sectores de construcción, hoteles, restaurantes y servicios públicos.   El cierre de la actividad </w:t>
      </w:r>
      <w:r w:rsidRPr="001C6BA3">
        <w:rPr>
          <w:rFonts w:ascii="Arial" w:hAnsi="Arial" w:cs="Arial"/>
          <w:sz w:val="24"/>
          <w:szCs w:val="24"/>
          <w:lang w:val="es-ES"/>
        </w:rPr>
        <w:lastRenderedPageBreak/>
        <w:t xml:space="preserve">minera, junto con </w:t>
      </w:r>
      <w:r w:rsidR="00CD6B61" w:rsidRPr="001C6BA3">
        <w:rPr>
          <w:rFonts w:ascii="Arial" w:hAnsi="Arial" w:cs="Arial"/>
          <w:sz w:val="24"/>
          <w:szCs w:val="24"/>
          <w:lang w:val="es-ES"/>
        </w:rPr>
        <w:t>el</w:t>
      </w:r>
      <w:r w:rsidRPr="001C6BA3">
        <w:rPr>
          <w:rFonts w:ascii="Arial" w:hAnsi="Arial" w:cs="Arial"/>
          <w:sz w:val="24"/>
          <w:szCs w:val="24"/>
          <w:lang w:val="es-ES"/>
        </w:rPr>
        <w:t xml:space="preserve"> fenómeno de El Niño, cuya intensidad y duración ha superado las previsiones iniciales, impactará negativamente en sectores como el agropecuario, el transporte, el comercio y el energético, representando desafíos significativos. </w:t>
      </w:r>
    </w:p>
    <w:p w14:paraId="409B3DF9" w14:textId="77777777" w:rsidR="00D72918" w:rsidRPr="001C6BA3" w:rsidRDefault="00D72918" w:rsidP="007447E3">
      <w:pPr>
        <w:spacing w:line="360" w:lineRule="auto"/>
        <w:jc w:val="both"/>
        <w:rPr>
          <w:rFonts w:ascii="Arial" w:hAnsi="Arial" w:cs="Arial"/>
          <w:sz w:val="24"/>
          <w:szCs w:val="24"/>
          <w:lang w:val="es-ES"/>
        </w:rPr>
      </w:pPr>
      <w:r w:rsidRPr="001C6BA3">
        <w:rPr>
          <w:rFonts w:ascii="Arial" w:hAnsi="Arial" w:cs="Arial"/>
          <w:sz w:val="24"/>
          <w:szCs w:val="24"/>
          <w:lang w:val="es-ES"/>
        </w:rPr>
        <w:t>Por ello, se espera que 2024 sea un año desafiante, con condiciones financieras difíciles que impactarán negativamente en empresas, hogares, y el empleo. Esto afectará la calidad de la cartera de las entidades financieras, posiblemente aumentando las provisiones y reduciendo su rentabilidad.</w:t>
      </w:r>
    </w:p>
    <w:p w14:paraId="1EA55CF7" w14:textId="77777777" w:rsidR="00D72918" w:rsidRPr="001C6BA3" w:rsidRDefault="00D72918" w:rsidP="007447E3">
      <w:pPr>
        <w:spacing w:line="360" w:lineRule="auto"/>
        <w:jc w:val="both"/>
        <w:rPr>
          <w:rFonts w:ascii="Arial" w:hAnsi="Arial" w:cs="Arial"/>
          <w:sz w:val="24"/>
          <w:szCs w:val="24"/>
          <w:lang w:val="es-ES"/>
        </w:rPr>
      </w:pPr>
      <w:r w:rsidRPr="001C6BA3">
        <w:rPr>
          <w:rFonts w:ascii="Arial" w:hAnsi="Arial" w:cs="Arial"/>
          <w:sz w:val="24"/>
          <w:szCs w:val="24"/>
          <w:lang w:val="es-ES"/>
        </w:rPr>
        <w:t>Adicionalmente, en la medida que persistan estas condiciones, las primas de riesgo seguirán en niveles elevados y limitarán la reducción de las tasas de largo plazo. Esto posee implicaciones críticas para las finanzas públicas, dado que éstas desempeñan un rol central en la sostenibilidad fiscal y en la gestión de la calificación crediticia del país.</w:t>
      </w:r>
    </w:p>
    <w:p w14:paraId="305D6A59" w14:textId="65154009" w:rsidR="00D72918" w:rsidRPr="001C6BA3" w:rsidRDefault="00D72918"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Desde el 25 de octubre de 2023, el índice EMBI de Panamá ha experimentado un notable aumento, sugiriendo la posibilidad de que el país pierda su calificación de grado de inversión. Este incremento, seguido de cambios en las evaluaciones por parte de las </w:t>
      </w:r>
      <w:r w:rsidR="00083025" w:rsidRPr="001C6BA3">
        <w:rPr>
          <w:rFonts w:ascii="Arial" w:hAnsi="Arial" w:cs="Arial"/>
          <w:sz w:val="24"/>
          <w:szCs w:val="24"/>
          <w:lang w:val="es-ES"/>
        </w:rPr>
        <w:t xml:space="preserve">agencias </w:t>
      </w:r>
      <w:r w:rsidRPr="001C6BA3">
        <w:rPr>
          <w:rFonts w:ascii="Arial" w:hAnsi="Arial" w:cs="Arial"/>
          <w:sz w:val="24"/>
          <w:szCs w:val="24"/>
          <w:lang w:val="es-ES"/>
        </w:rPr>
        <w:t xml:space="preserve">calificadoras, podría llevar a la pérdida de dicha calificación a corto o mediano plazo. </w:t>
      </w:r>
    </w:p>
    <w:p w14:paraId="0AC5994C" w14:textId="4CF2F50E" w:rsidR="00D72918" w:rsidRPr="001C6BA3" w:rsidRDefault="00D72918"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Una eventual pérdida del grado de inversión podría tener un impacto significativo en el entorno operativo </w:t>
      </w:r>
      <w:r w:rsidR="005C6900" w:rsidRPr="001C6BA3">
        <w:rPr>
          <w:rFonts w:ascii="Arial" w:hAnsi="Arial" w:cs="Arial"/>
          <w:sz w:val="24"/>
          <w:szCs w:val="24"/>
          <w:lang w:val="es-ES"/>
        </w:rPr>
        <w:t>de</w:t>
      </w:r>
      <w:r w:rsidRPr="001C6BA3">
        <w:rPr>
          <w:rFonts w:ascii="Arial" w:hAnsi="Arial" w:cs="Arial"/>
          <w:sz w:val="24"/>
          <w:szCs w:val="24"/>
          <w:lang w:val="es-ES"/>
        </w:rPr>
        <w:t xml:space="preserve"> los bancos.  La pérdida del grado de inversión implica más que sólo un aumento en las tasas de interés. Al caer a un grado especulativo, se limita el acceso a ciertos inversionistas y se aumenta la dependencia en inversionistas tácticos, lo que puede afectar negativamente el acceso a financiamiento del sector público y privado.  Además, el riesgo percibido más alto podría resultar en una disminución en la disponibilidad de líneas de crédito externas para los bancos, limitando su capacidad para prestar. </w:t>
      </w:r>
    </w:p>
    <w:p w14:paraId="5996BE97" w14:textId="396DC4C3" w:rsidR="00D72918" w:rsidRPr="001C6BA3" w:rsidRDefault="00D72918"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Todos estos elementos son una llamada de atención muy importante. Nuestro país ha demostrado históricamente una alta resiliencia, y es precisamente en este punto en el que debemos centrarnos.  Previo a las próximas evaluaciones de las </w:t>
      </w:r>
      <w:r w:rsidRPr="001C6BA3">
        <w:rPr>
          <w:rFonts w:ascii="Arial" w:hAnsi="Arial" w:cs="Arial"/>
          <w:sz w:val="24"/>
          <w:szCs w:val="24"/>
          <w:lang w:val="es-ES"/>
        </w:rPr>
        <w:lastRenderedPageBreak/>
        <w:t xml:space="preserve">calificadoras es necesario hacer cambios y </w:t>
      </w:r>
      <w:r w:rsidR="007D1FD7" w:rsidRPr="001C6BA3">
        <w:rPr>
          <w:rFonts w:ascii="Arial" w:hAnsi="Arial" w:cs="Arial"/>
          <w:sz w:val="24"/>
          <w:szCs w:val="24"/>
          <w:lang w:val="es-ES"/>
        </w:rPr>
        <w:t>mejoras que demuestre</w:t>
      </w:r>
      <w:r w:rsidR="002301DC" w:rsidRPr="001C6BA3">
        <w:rPr>
          <w:rFonts w:ascii="Arial" w:hAnsi="Arial" w:cs="Arial"/>
          <w:sz w:val="24"/>
          <w:szCs w:val="24"/>
          <w:lang w:val="es-ES"/>
        </w:rPr>
        <w:t>n</w:t>
      </w:r>
      <w:r w:rsidR="007D1FD7" w:rsidRPr="001C6BA3">
        <w:rPr>
          <w:rFonts w:ascii="Arial" w:hAnsi="Arial" w:cs="Arial"/>
          <w:sz w:val="24"/>
          <w:szCs w:val="24"/>
          <w:lang w:val="es-ES"/>
        </w:rPr>
        <w:t xml:space="preserve"> la fortaleza institucional del país para hacer </w:t>
      </w:r>
      <w:r w:rsidRPr="001C6BA3">
        <w:rPr>
          <w:rFonts w:ascii="Arial" w:hAnsi="Arial" w:cs="Arial"/>
          <w:sz w:val="24"/>
          <w:szCs w:val="24"/>
          <w:lang w:val="es-ES"/>
        </w:rPr>
        <w:t>las adecuaciones que permitan mantener el grado de inversión</w:t>
      </w:r>
      <w:r w:rsidR="006F6D4B" w:rsidRPr="001C6BA3">
        <w:rPr>
          <w:rFonts w:ascii="Arial" w:hAnsi="Arial" w:cs="Arial"/>
          <w:sz w:val="24"/>
          <w:szCs w:val="24"/>
          <w:lang w:val="es-ES"/>
        </w:rPr>
        <w:t>;</w:t>
      </w:r>
      <w:r w:rsidRPr="001C6BA3">
        <w:rPr>
          <w:rFonts w:ascii="Arial" w:hAnsi="Arial" w:cs="Arial"/>
          <w:sz w:val="24"/>
          <w:szCs w:val="24"/>
          <w:lang w:val="es-ES"/>
        </w:rPr>
        <w:t xml:space="preserve"> esta es una tarea conjunta en la cual el país debe sumar sus mayores esfuerzos.</w:t>
      </w:r>
    </w:p>
    <w:p w14:paraId="4FF325D1" w14:textId="55B4FE41" w:rsidR="008E0E80" w:rsidRPr="001C6BA3" w:rsidRDefault="00D72918"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De igual modo, es importante destacar que la resiliencia del país postpandemia se debe a un marco de crecimiento positivo más fuerte de lo esperado.  Esto se debe, en parte, a la mejora del desempeño externo de bienes y servicios. Por esta razón, es necesario viabilizar la sostenibilidad hídrica de la ruta interoceánica, el principal activo del país.  Asimismo, </w:t>
      </w:r>
      <w:r w:rsidR="006C1816" w:rsidRPr="001C6BA3">
        <w:rPr>
          <w:rFonts w:ascii="Arial" w:hAnsi="Arial" w:cs="Arial"/>
          <w:sz w:val="24"/>
          <w:szCs w:val="24"/>
          <w:lang w:val="es-ES"/>
        </w:rPr>
        <w:t xml:space="preserve">tomando en consideración el incremento de la prima de riesgo país; </w:t>
      </w:r>
      <w:r w:rsidR="008E0E80" w:rsidRPr="001C6BA3">
        <w:rPr>
          <w:rFonts w:ascii="Arial" w:hAnsi="Arial" w:cs="Arial"/>
          <w:sz w:val="24"/>
          <w:szCs w:val="24"/>
          <w:lang w:val="es-ES"/>
        </w:rPr>
        <w:t>invitamos a todos los actores</w:t>
      </w:r>
      <w:r w:rsidR="003A31B1" w:rsidRPr="001C6BA3">
        <w:rPr>
          <w:rFonts w:ascii="Arial" w:hAnsi="Arial" w:cs="Arial"/>
          <w:sz w:val="24"/>
          <w:szCs w:val="24"/>
          <w:lang w:val="es-ES"/>
        </w:rPr>
        <w:t xml:space="preserve"> involucrados a realizar un análisis </w:t>
      </w:r>
      <w:r w:rsidR="00042018" w:rsidRPr="001C6BA3">
        <w:rPr>
          <w:rFonts w:ascii="Arial" w:hAnsi="Arial" w:cs="Arial"/>
          <w:sz w:val="24"/>
          <w:szCs w:val="24"/>
          <w:lang w:val="es-ES"/>
        </w:rPr>
        <w:t xml:space="preserve">en pro del mejor beneficio del país en cuanto a temas ambientales </w:t>
      </w:r>
      <w:r w:rsidR="00E412A1" w:rsidRPr="001C6BA3">
        <w:rPr>
          <w:rFonts w:ascii="Arial" w:hAnsi="Arial" w:cs="Arial"/>
          <w:sz w:val="24"/>
          <w:szCs w:val="24"/>
          <w:lang w:val="es-ES"/>
        </w:rPr>
        <w:t>y de</w:t>
      </w:r>
      <w:r w:rsidR="00421698" w:rsidRPr="001C6BA3">
        <w:rPr>
          <w:rFonts w:ascii="Arial" w:hAnsi="Arial" w:cs="Arial"/>
          <w:sz w:val="24"/>
          <w:szCs w:val="24"/>
          <w:lang w:val="es-ES"/>
        </w:rPr>
        <w:t xml:space="preserve"> la actividad miner</w:t>
      </w:r>
      <w:r w:rsidR="00E412A1" w:rsidRPr="001C6BA3">
        <w:rPr>
          <w:rFonts w:ascii="Arial" w:hAnsi="Arial" w:cs="Arial"/>
          <w:sz w:val="24"/>
          <w:szCs w:val="24"/>
          <w:lang w:val="es-ES"/>
        </w:rPr>
        <w:t>a</w:t>
      </w:r>
      <w:r w:rsidR="006C1816" w:rsidRPr="001C6BA3">
        <w:rPr>
          <w:rFonts w:ascii="Arial" w:hAnsi="Arial" w:cs="Arial"/>
          <w:sz w:val="24"/>
          <w:szCs w:val="24"/>
          <w:lang w:val="es-ES"/>
        </w:rPr>
        <w:t>.</w:t>
      </w:r>
    </w:p>
    <w:p w14:paraId="22881325" w14:textId="46E76DE0" w:rsidR="00D72918" w:rsidRPr="001C6BA3" w:rsidRDefault="00D72918" w:rsidP="007447E3">
      <w:pPr>
        <w:spacing w:line="360" w:lineRule="auto"/>
        <w:jc w:val="both"/>
        <w:rPr>
          <w:rFonts w:ascii="Arial" w:hAnsi="Arial" w:cs="Arial"/>
          <w:strike/>
          <w:sz w:val="24"/>
          <w:szCs w:val="24"/>
          <w:lang w:val="es-ES"/>
        </w:rPr>
      </w:pPr>
      <w:r w:rsidRPr="001C6BA3">
        <w:rPr>
          <w:rFonts w:ascii="Arial" w:hAnsi="Arial" w:cs="Arial"/>
          <w:sz w:val="24"/>
          <w:szCs w:val="24"/>
          <w:lang w:val="es-ES"/>
        </w:rPr>
        <w:t xml:space="preserve">Estos temas son fundamentales para asegurar el desarrollo económico del país. </w:t>
      </w:r>
    </w:p>
    <w:p w14:paraId="5BD7FB43" w14:textId="77777777" w:rsidR="00D72918" w:rsidRPr="001C6BA3" w:rsidRDefault="00D72918"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La tasa de interés de la Reserva Federal ha alcanzado su máximo en 22 años, marcando el ciclo restrictivo más rápido y con las tasas más altas en una década, pero sin afectar negativamente el crecimiento económico y el empleo en EE.UU. Esto indica una lucha efectiva contra la inflación y sugiere un cambio en la política monetaria global para 2024, con expectativas de reducción de tasas. </w:t>
      </w:r>
    </w:p>
    <w:p w14:paraId="07CF1C8C" w14:textId="77777777" w:rsidR="00D72918" w:rsidRPr="001C6BA3" w:rsidRDefault="00D72918" w:rsidP="007447E3">
      <w:pPr>
        <w:spacing w:line="360" w:lineRule="auto"/>
        <w:jc w:val="both"/>
        <w:rPr>
          <w:rFonts w:ascii="Arial" w:hAnsi="Arial" w:cs="Arial"/>
          <w:sz w:val="24"/>
          <w:szCs w:val="24"/>
          <w:lang w:val="es-ES"/>
        </w:rPr>
      </w:pPr>
      <w:r w:rsidRPr="001C6BA3">
        <w:rPr>
          <w:rFonts w:ascii="Arial" w:hAnsi="Arial" w:cs="Arial"/>
          <w:sz w:val="24"/>
          <w:szCs w:val="24"/>
          <w:lang w:val="es-ES"/>
        </w:rPr>
        <w:t>Aunque persisten diferencias entre las perspectivas del mercado y las de la Fed, actualmente ambos señalan en 2024 el inicio de una fase de reducción de tasas, una tendencia que se espera ver también de manera parcial en el ámbito local. Este desarrollo subraya la importancia de monitorear y prepararnos y ajustar las estrategias de inversión conforme evolucione el panorama de política monetaria externo.</w:t>
      </w:r>
    </w:p>
    <w:p w14:paraId="5761B4D8" w14:textId="44BF89A1" w:rsidR="00D72918" w:rsidRPr="001C6BA3" w:rsidRDefault="00D72918"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En el ámbito local, tal como habíamos anticipado, incluso a pesar de los aumentos significativos en las tasas de interés en mercados de economías desarrolladas, el país ha estado menos expuesto a la volatilidad de las tasas de interés globales, </w:t>
      </w:r>
      <w:r w:rsidR="003B3CC4" w:rsidRPr="001C6BA3">
        <w:rPr>
          <w:rFonts w:ascii="Arial" w:hAnsi="Arial" w:cs="Arial"/>
          <w:sz w:val="24"/>
          <w:szCs w:val="24"/>
          <w:lang w:val="es-ES"/>
        </w:rPr>
        <w:t xml:space="preserve">y ha logrado mantener tasas pasivas </w:t>
      </w:r>
      <w:r w:rsidR="0040298F" w:rsidRPr="001C6BA3">
        <w:rPr>
          <w:rFonts w:ascii="Arial" w:hAnsi="Arial" w:cs="Arial"/>
          <w:sz w:val="24"/>
          <w:szCs w:val="24"/>
          <w:lang w:val="es-ES"/>
        </w:rPr>
        <w:t xml:space="preserve">que </w:t>
      </w:r>
      <w:r w:rsidR="00860ACB" w:rsidRPr="001C6BA3">
        <w:rPr>
          <w:rFonts w:ascii="Arial" w:hAnsi="Arial" w:cs="Arial"/>
          <w:sz w:val="24"/>
          <w:szCs w:val="24"/>
          <w:lang w:val="es-ES"/>
        </w:rPr>
        <w:t>compiten con otros mercados regionales</w:t>
      </w:r>
      <w:r w:rsidR="003B3CC4" w:rsidRPr="001C6BA3">
        <w:rPr>
          <w:rFonts w:ascii="Arial" w:hAnsi="Arial" w:cs="Arial"/>
          <w:sz w:val="24"/>
          <w:szCs w:val="24"/>
          <w:lang w:val="es-ES"/>
        </w:rPr>
        <w:t>.</w:t>
      </w:r>
      <w:r w:rsidRPr="001C6BA3">
        <w:rPr>
          <w:rFonts w:ascii="Arial" w:hAnsi="Arial" w:cs="Arial"/>
          <w:sz w:val="24"/>
          <w:szCs w:val="24"/>
          <w:lang w:val="es-ES"/>
        </w:rPr>
        <w:t xml:space="preserve">  En línea con nuestras previsiones, no se observó un traspaso completo de las tasas </w:t>
      </w:r>
      <w:r w:rsidRPr="001C6BA3">
        <w:rPr>
          <w:rFonts w:ascii="Arial" w:hAnsi="Arial" w:cs="Arial"/>
          <w:sz w:val="24"/>
          <w:szCs w:val="24"/>
          <w:lang w:val="es-ES"/>
        </w:rPr>
        <w:lastRenderedPageBreak/>
        <w:t>externas a las tasas locales, con lo cual no se presenció un incremento en las tasas activas con la misma intensidad que en las tasas externas.</w:t>
      </w:r>
      <w:r w:rsidR="002400F9" w:rsidRPr="001C6BA3">
        <w:rPr>
          <w:rFonts w:ascii="Arial" w:hAnsi="Arial" w:cs="Arial"/>
          <w:sz w:val="24"/>
          <w:szCs w:val="24"/>
          <w:lang w:val="es-ES"/>
        </w:rPr>
        <w:t xml:space="preserve"> </w:t>
      </w:r>
      <w:r w:rsidRPr="001C6BA3">
        <w:rPr>
          <w:rFonts w:ascii="Arial" w:hAnsi="Arial" w:cs="Arial"/>
          <w:sz w:val="24"/>
          <w:szCs w:val="24"/>
          <w:lang w:val="es-ES"/>
        </w:rPr>
        <w:t xml:space="preserve"> </w:t>
      </w:r>
    </w:p>
    <w:p w14:paraId="5A63A260" w14:textId="4AB6C4DF" w:rsidR="00D72918" w:rsidRPr="001C6BA3" w:rsidRDefault="00D72918" w:rsidP="007447E3">
      <w:pPr>
        <w:spacing w:line="360" w:lineRule="auto"/>
        <w:jc w:val="both"/>
        <w:rPr>
          <w:rFonts w:ascii="Arial" w:hAnsi="Arial" w:cs="Arial"/>
          <w:sz w:val="24"/>
          <w:szCs w:val="24"/>
          <w:lang w:val="es-ES"/>
        </w:rPr>
      </w:pPr>
      <w:r w:rsidRPr="001C6BA3">
        <w:rPr>
          <w:rFonts w:ascii="Arial" w:hAnsi="Arial" w:cs="Arial"/>
          <w:sz w:val="24"/>
          <w:szCs w:val="24"/>
          <w:lang w:val="es-ES"/>
        </w:rPr>
        <w:t>Hacia adelante, el escenario actual muestra una fuerte probabilidad de reducciones de las tasas de la Fed durante el segundo semestre del año, aunque</w:t>
      </w:r>
      <w:r w:rsidR="0022291A" w:rsidRPr="001C6BA3">
        <w:rPr>
          <w:rFonts w:ascii="Arial" w:hAnsi="Arial" w:cs="Arial"/>
          <w:sz w:val="24"/>
          <w:szCs w:val="24"/>
          <w:lang w:val="es-ES"/>
        </w:rPr>
        <w:t xml:space="preserve"> </w:t>
      </w:r>
      <w:r w:rsidRPr="001C6BA3">
        <w:rPr>
          <w:rFonts w:ascii="Arial" w:hAnsi="Arial" w:cs="Arial"/>
          <w:sz w:val="24"/>
          <w:szCs w:val="24"/>
          <w:lang w:val="es-ES"/>
        </w:rPr>
        <w:t xml:space="preserve">permanecerán altas al compararse con los niveles de la última década. </w:t>
      </w:r>
    </w:p>
    <w:p w14:paraId="3B5929E5" w14:textId="657C8EFA" w:rsidR="00D72918" w:rsidRPr="001C6BA3" w:rsidRDefault="00D72918" w:rsidP="007447E3">
      <w:pPr>
        <w:spacing w:line="360" w:lineRule="auto"/>
        <w:jc w:val="both"/>
        <w:rPr>
          <w:rFonts w:ascii="Arial" w:hAnsi="Arial" w:cs="Arial"/>
          <w:sz w:val="24"/>
          <w:szCs w:val="24"/>
          <w:lang w:val="es-ES"/>
        </w:rPr>
      </w:pPr>
      <w:r w:rsidRPr="001C6BA3">
        <w:rPr>
          <w:rFonts w:ascii="Arial" w:hAnsi="Arial" w:cs="Arial"/>
          <w:sz w:val="24"/>
          <w:szCs w:val="24"/>
          <w:lang w:val="es-ES"/>
        </w:rPr>
        <w:t>No obstante, es relevante mencionar que las menores tasas de política monetaria de países desarrollados durante 2024 no implicarán</w:t>
      </w:r>
      <w:r w:rsidR="00816173" w:rsidRPr="001C6BA3">
        <w:rPr>
          <w:rFonts w:ascii="Arial" w:hAnsi="Arial" w:cs="Arial"/>
          <w:sz w:val="24"/>
          <w:szCs w:val="24"/>
          <w:lang w:val="es-ES"/>
        </w:rPr>
        <w:t>,</w:t>
      </w:r>
      <w:r w:rsidRPr="001C6BA3">
        <w:rPr>
          <w:rFonts w:ascii="Arial" w:hAnsi="Arial" w:cs="Arial"/>
          <w:sz w:val="24"/>
          <w:szCs w:val="24"/>
          <w:lang w:val="es-ES"/>
        </w:rPr>
        <w:t xml:space="preserve"> necesariamente</w:t>
      </w:r>
      <w:r w:rsidR="00816173" w:rsidRPr="001C6BA3">
        <w:rPr>
          <w:rFonts w:ascii="Arial" w:hAnsi="Arial" w:cs="Arial"/>
          <w:sz w:val="24"/>
          <w:szCs w:val="24"/>
          <w:lang w:val="es-ES"/>
        </w:rPr>
        <w:t>,</w:t>
      </w:r>
      <w:r w:rsidRPr="001C6BA3">
        <w:rPr>
          <w:rFonts w:ascii="Arial" w:hAnsi="Arial" w:cs="Arial"/>
          <w:sz w:val="24"/>
          <w:szCs w:val="24"/>
          <w:lang w:val="es-ES"/>
        </w:rPr>
        <w:t xml:space="preserve"> un alivio proporcional e inmediato de los costos financieros para los usuarios de crédito local. De hecho, el ajuste de las tasas locales podría continuar experimentando un rezago en el traspaso, y podríamos observar todavía algunos incrementos durante el año. </w:t>
      </w:r>
    </w:p>
    <w:p w14:paraId="66A91B0B" w14:textId="433E44EF" w:rsidR="00D72918" w:rsidRPr="001C6BA3" w:rsidRDefault="00D72918" w:rsidP="007447E3">
      <w:pPr>
        <w:spacing w:line="360" w:lineRule="auto"/>
        <w:jc w:val="both"/>
        <w:rPr>
          <w:rFonts w:ascii="Arial" w:hAnsi="Arial" w:cs="Arial"/>
          <w:sz w:val="24"/>
          <w:szCs w:val="24"/>
          <w:lang w:val="es-ES"/>
        </w:rPr>
      </w:pPr>
      <w:r w:rsidRPr="001C6BA3">
        <w:rPr>
          <w:rFonts w:ascii="Arial" w:hAnsi="Arial" w:cs="Arial"/>
          <w:sz w:val="24"/>
          <w:szCs w:val="24"/>
          <w:lang w:val="es-ES"/>
        </w:rPr>
        <w:t>Este es un tema que sin duda depende de múltiples variables, pero que seguiremos vigilando de cerca.</w:t>
      </w:r>
    </w:p>
    <w:p w14:paraId="3E6A664B" w14:textId="6E178586" w:rsidR="00326235" w:rsidRPr="00F1201E" w:rsidRDefault="00D218BF" w:rsidP="00D218BF">
      <w:pPr>
        <w:tabs>
          <w:tab w:val="left" w:pos="1972"/>
        </w:tabs>
        <w:spacing w:line="360" w:lineRule="auto"/>
        <w:jc w:val="both"/>
        <w:rPr>
          <w:rFonts w:ascii="Arial" w:hAnsi="Arial" w:cs="Arial"/>
          <w:lang w:val="es-ES"/>
        </w:rPr>
      </w:pPr>
      <w:r w:rsidRPr="00F1201E">
        <w:rPr>
          <w:rFonts w:ascii="Arial" w:hAnsi="Arial" w:cs="Arial"/>
          <w:lang w:val="es-ES"/>
        </w:rPr>
        <w:tab/>
      </w:r>
    </w:p>
    <w:p w14:paraId="656C670F" w14:textId="61853703" w:rsidR="00304C63" w:rsidRPr="001C6BA3" w:rsidRDefault="00304C63" w:rsidP="007447E3">
      <w:pPr>
        <w:spacing w:line="360" w:lineRule="auto"/>
        <w:jc w:val="both"/>
        <w:rPr>
          <w:rFonts w:ascii="Arial" w:hAnsi="Arial" w:cs="Arial"/>
          <w:b/>
          <w:bCs/>
          <w:sz w:val="32"/>
          <w:szCs w:val="32"/>
          <w:lang w:val="es-ES"/>
        </w:rPr>
      </w:pPr>
      <w:r w:rsidRPr="001C6BA3">
        <w:rPr>
          <w:rFonts w:ascii="Arial" w:hAnsi="Arial" w:cs="Arial"/>
          <w:b/>
          <w:bCs/>
          <w:sz w:val="32"/>
          <w:szCs w:val="32"/>
          <w:lang w:val="es-ES"/>
        </w:rPr>
        <w:t>Balance de Situación</w:t>
      </w:r>
    </w:p>
    <w:p w14:paraId="63E43F52" w14:textId="060EFBC4" w:rsidR="00615937" w:rsidRPr="001C6BA3" w:rsidRDefault="00615937" w:rsidP="007447E3">
      <w:pPr>
        <w:spacing w:line="360" w:lineRule="auto"/>
        <w:jc w:val="both"/>
        <w:rPr>
          <w:rFonts w:ascii="Arial" w:hAnsi="Arial" w:cs="Arial"/>
          <w:sz w:val="24"/>
          <w:szCs w:val="24"/>
          <w:lang w:val="es-ES"/>
        </w:rPr>
      </w:pPr>
      <w:r w:rsidRPr="001C6BA3">
        <w:rPr>
          <w:rFonts w:ascii="Arial" w:hAnsi="Arial" w:cs="Arial"/>
          <w:sz w:val="24"/>
          <w:szCs w:val="24"/>
        </w:rPr>
        <w:t xml:space="preserve">Finalizado el año 2023, el CBI ha demostrado un sólido crecimiento financiero, con un incremento en los activos totales hasta alcanzar los </w:t>
      </w:r>
      <w:r w:rsidR="0034718C" w:rsidRPr="001C6BA3">
        <w:rPr>
          <w:rFonts w:ascii="Arial" w:hAnsi="Arial" w:cs="Arial"/>
          <w:sz w:val="24"/>
          <w:szCs w:val="24"/>
        </w:rPr>
        <w:t xml:space="preserve">USD </w:t>
      </w:r>
      <w:r w:rsidRPr="001C6BA3">
        <w:rPr>
          <w:rFonts w:ascii="Arial" w:hAnsi="Arial" w:cs="Arial"/>
          <w:sz w:val="24"/>
          <w:szCs w:val="24"/>
        </w:rPr>
        <w:t>147.</w:t>
      </w:r>
      <w:r w:rsidR="005376F8" w:rsidRPr="001C6BA3">
        <w:rPr>
          <w:rFonts w:ascii="Arial" w:hAnsi="Arial" w:cs="Arial"/>
          <w:sz w:val="24"/>
          <w:szCs w:val="24"/>
        </w:rPr>
        <w:t>500</w:t>
      </w:r>
      <w:r w:rsidRPr="001C6BA3">
        <w:rPr>
          <w:rFonts w:ascii="Arial" w:hAnsi="Arial" w:cs="Arial"/>
          <w:sz w:val="24"/>
          <w:szCs w:val="24"/>
        </w:rPr>
        <w:t xml:space="preserve"> </w:t>
      </w:r>
      <w:r w:rsidR="005376F8" w:rsidRPr="001C6BA3">
        <w:rPr>
          <w:rFonts w:ascii="Arial" w:hAnsi="Arial" w:cs="Arial"/>
          <w:sz w:val="24"/>
          <w:szCs w:val="24"/>
        </w:rPr>
        <w:t>m</w:t>
      </w:r>
      <w:r w:rsidRPr="001C6BA3">
        <w:rPr>
          <w:rFonts w:ascii="Arial" w:hAnsi="Arial" w:cs="Arial"/>
          <w:sz w:val="24"/>
          <w:szCs w:val="24"/>
        </w:rPr>
        <w:t>illones. Este crecimiento, que representa un aumento interanual del 5.35%, es el resultado de una estrategia enfocada en maximizar el rendimiento de los activos productivos y una gestión activa de recursos. Paralelamente, se ha fortalecido la estructura de capital y pasivos, lo que, más allá de aumentar la optimización de la rentabilidad, también podría mitigar potenciales riesgos que se vislumbran en este 2024.</w:t>
      </w:r>
    </w:p>
    <w:p w14:paraId="465E299F" w14:textId="77777777" w:rsidR="00615937" w:rsidRPr="001C6BA3" w:rsidRDefault="00615937" w:rsidP="007447E3">
      <w:pPr>
        <w:spacing w:line="360" w:lineRule="auto"/>
        <w:jc w:val="both"/>
        <w:rPr>
          <w:rFonts w:ascii="Arial" w:hAnsi="Arial" w:cs="Arial"/>
          <w:sz w:val="24"/>
          <w:szCs w:val="24"/>
          <w:lang w:val="es-ES"/>
        </w:rPr>
      </w:pPr>
      <w:r w:rsidRPr="001C6BA3">
        <w:rPr>
          <w:rFonts w:ascii="Arial" w:hAnsi="Arial" w:cs="Arial"/>
          <w:sz w:val="24"/>
          <w:szCs w:val="24"/>
        </w:rPr>
        <w:t>Esta expansión en la parte activa del balance refleja una aceleración notable en la dinámica de crecimiento de los activos productivos, impulsada primordialmente por un aumento del 4.6% en la cartera crediticia y un crecimiento del 9.2% en el componente de inversiones. Además, durante este mismo período, observamos un avance del 2.8% en los activos líquidos, lo que refleja una reasignación estratégica hacia activos de mayor rendimiento, que indica una gestión activa y eficiente de los recursos, lo cual debería procurar un equilibrio adecuado entre riesgo y retorno.</w:t>
      </w:r>
    </w:p>
    <w:p w14:paraId="256F83C4" w14:textId="7E7B69CD" w:rsidR="00615937" w:rsidRPr="001C6BA3" w:rsidRDefault="00615937" w:rsidP="007447E3">
      <w:pPr>
        <w:spacing w:line="360" w:lineRule="auto"/>
        <w:jc w:val="both"/>
        <w:rPr>
          <w:rFonts w:ascii="Arial" w:hAnsi="Arial" w:cs="Arial"/>
          <w:sz w:val="24"/>
          <w:szCs w:val="24"/>
        </w:rPr>
      </w:pPr>
      <w:r w:rsidRPr="001C6BA3">
        <w:rPr>
          <w:rFonts w:ascii="Arial" w:hAnsi="Arial" w:cs="Arial"/>
          <w:sz w:val="24"/>
          <w:szCs w:val="24"/>
        </w:rPr>
        <w:lastRenderedPageBreak/>
        <w:t>Desde la perspectiva de pasivos y capital, el año 2023 fue testigo de una dinámica financiera notablemente positiva. Los depósitos experimentaron una aceleración significativa, de 6.</w:t>
      </w:r>
      <w:r w:rsidR="00A010C7" w:rsidRPr="001C6BA3">
        <w:rPr>
          <w:rFonts w:ascii="Arial" w:hAnsi="Arial" w:cs="Arial"/>
          <w:sz w:val="24"/>
          <w:szCs w:val="24"/>
        </w:rPr>
        <w:t>8</w:t>
      </w:r>
      <w:r w:rsidRPr="001C6BA3">
        <w:rPr>
          <w:rFonts w:ascii="Arial" w:hAnsi="Arial" w:cs="Arial"/>
          <w:sz w:val="24"/>
          <w:szCs w:val="24"/>
        </w:rPr>
        <w:t>%, marcada por la confianza continua en la plaza panameña.   En línea con un mayor costo de capital, se pudieron apreciar estrategias efectivas para la gestión de pasivos, al registrarse una reducción de las obligaciones financieras por el orden del 3.1%.   Paralelamente, se registró un aumento del 5.9% en el patrimonio neto, evidencia de un fortalecimiento de la estructura financiera y una base de capital más robusta.   Estas medidas no sólo mejoran nuestra solvencia, sino que también apoyan el potencial de crecimiento futuro y la capacidad para manejar riesgos financieros.</w:t>
      </w:r>
    </w:p>
    <w:p w14:paraId="4058152E" w14:textId="77777777" w:rsidR="00AF3E82" w:rsidRPr="00F1201E" w:rsidRDefault="00AF3E82" w:rsidP="007447E3">
      <w:pPr>
        <w:spacing w:line="360" w:lineRule="auto"/>
        <w:jc w:val="both"/>
        <w:rPr>
          <w:rFonts w:ascii="Arial" w:hAnsi="Arial" w:cs="Arial"/>
          <w:lang w:val="es-ES"/>
        </w:rPr>
      </w:pPr>
    </w:p>
    <w:p w14:paraId="746ABEFA" w14:textId="4E9C57D0" w:rsidR="00615937" w:rsidRPr="001C6BA3" w:rsidRDefault="00615937" w:rsidP="007447E3">
      <w:pPr>
        <w:spacing w:line="360" w:lineRule="auto"/>
        <w:jc w:val="both"/>
        <w:rPr>
          <w:rFonts w:ascii="Arial" w:hAnsi="Arial" w:cs="Arial"/>
          <w:b/>
          <w:bCs/>
          <w:sz w:val="32"/>
          <w:szCs w:val="32"/>
          <w:lang w:val="es-ES"/>
        </w:rPr>
      </w:pPr>
      <w:r w:rsidRPr="001C6BA3">
        <w:rPr>
          <w:rFonts w:ascii="Arial" w:hAnsi="Arial" w:cs="Arial"/>
          <w:b/>
          <w:bCs/>
          <w:sz w:val="32"/>
          <w:szCs w:val="32"/>
          <w:lang w:val="es-ES"/>
        </w:rPr>
        <w:t>Liquidez</w:t>
      </w:r>
    </w:p>
    <w:p w14:paraId="4AFD17B5" w14:textId="77777777" w:rsidR="00A0674B" w:rsidRPr="001C6BA3" w:rsidRDefault="00A0674B" w:rsidP="007447E3">
      <w:pPr>
        <w:spacing w:line="360" w:lineRule="auto"/>
        <w:jc w:val="both"/>
        <w:rPr>
          <w:rFonts w:ascii="Arial" w:hAnsi="Arial" w:cs="Arial"/>
          <w:sz w:val="24"/>
          <w:szCs w:val="24"/>
        </w:rPr>
      </w:pPr>
      <w:r w:rsidRPr="001C6BA3">
        <w:rPr>
          <w:rFonts w:ascii="Arial" w:hAnsi="Arial" w:cs="Arial"/>
          <w:sz w:val="24"/>
          <w:szCs w:val="24"/>
        </w:rPr>
        <w:t>Al cierre de 2023, el sistema bancario demostró su fortaleza con una liquidez promedio del 57.8%, impulsada significativamente por el aumento de los depósitos.   Históricamente, el Sistema se ha caracterizado por mantener reservas de liquidez robustas y un flujo constante de depósitos, tanto estructurales como mayoristas, esenciales para su financiamiento.   Esto subraya la solidez de la banca, que cumple con los requerimientos regulatorios y a la vez está en capacidad de enfrentar las fluctuaciones del mercado.</w:t>
      </w:r>
    </w:p>
    <w:p w14:paraId="4CAFCD1D" w14:textId="32E5C1B6" w:rsidR="00A0674B" w:rsidRPr="001C6BA3" w:rsidRDefault="00A0674B" w:rsidP="007447E3">
      <w:pPr>
        <w:spacing w:line="360" w:lineRule="auto"/>
        <w:jc w:val="both"/>
        <w:rPr>
          <w:rFonts w:ascii="Arial" w:hAnsi="Arial" w:cs="Arial"/>
          <w:sz w:val="24"/>
          <w:szCs w:val="24"/>
        </w:rPr>
      </w:pPr>
      <w:r w:rsidRPr="001C6BA3">
        <w:rPr>
          <w:rFonts w:ascii="Arial" w:hAnsi="Arial" w:cs="Arial"/>
          <w:sz w:val="24"/>
          <w:szCs w:val="24"/>
        </w:rPr>
        <w:t>El Indicador de Riesgo de Liquidez, muestra que estamos muy por encima de los mínimos exigidos, gracias a una gestión prudente de los activos y pasivos, en cuanto a plazos de vencimiento, estructura de fondeo diversificada y alta calidad de los activos.  Actualmente los bancos cumplen con las disposiciones del LCR</w:t>
      </w:r>
      <w:r w:rsidR="003E3EF7" w:rsidRPr="001C6BA3">
        <w:rPr>
          <w:rFonts w:ascii="Arial" w:hAnsi="Arial" w:cs="Arial"/>
          <w:sz w:val="24"/>
          <w:szCs w:val="24"/>
        </w:rPr>
        <w:t xml:space="preserve"> (Coeficiente de Cobertura de Liquidez)</w:t>
      </w:r>
      <w:r w:rsidRPr="001C6BA3">
        <w:rPr>
          <w:rFonts w:ascii="Arial" w:hAnsi="Arial" w:cs="Arial"/>
          <w:sz w:val="24"/>
          <w:szCs w:val="24"/>
        </w:rPr>
        <w:t>, en la cual se refleja un indicador promedio superior al 150%, cumpliendo con holgura la exigencia regulatoria.</w:t>
      </w:r>
    </w:p>
    <w:p w14:paraId="707ADB4E" w14:textId="63F4D939" w:rsidR="00A0674B" w:rsidRPr="001C6BA3" w:rsidRDefault="00A0674B" w:rsidP="007447E3">
      <w:pPr>
        <w:spacing w:line="360" w:lineRule="auto"/>
        <w:jc w:val="both"/>
        <w:rPr>
          <w:rFonts w:ascii="Arial" w:hAnsi="Arial" w:cs="Arial"/>
          <w:sz w:val="24"/>
          <w:szCs w:val="24"/>
        </w:rPr>
      </w:pPr>
      <w:r w:rsidRPr="001C6BA3">
        <w:rPr>
          <w:rFonts w:ascii="Arial" w:hAnsi="Arial" w:cs="Arial"/>
          <w:sz w:val="24"/>
          <w:szCs w:val="24"/>
        </w:rPr>
        <w:t>El avance neto del 2.8% en los activos líquidos, refleja una gestión óptima, redirigidos hacia activos productivos de mayor rendimiento.</w:t>
      </w:r>
    </w:p>
    <w:p w14:paraId="031CC863" w14:textId="77777777" w:rsidR="00A0674B" w:rsidRPr="001C6BA3" w:rsidRDefault="00A0674B" w:rsidP="007447E3">
      <w:pPr>
        <w:spacing w:line="360" w:lineRule="auto"/>
        <w:jc w:val="both"/>
        <w:rPr>
          <w:rFonts w:ascii="Arial" w:hAnsi="Arial" w:cs="Arial"/>
          <w:sz w:val="24"/>
          <w:szCs w:val="24"/>
        </w:rPr>
      </w:pPr>
      <w:r w:rsidRPr="001C6BA3">
        <w:rPr>
          <w:rFonts w:ascii="Arial" w:hAnsi="Arial" w:cs="Arial"/>
          <w:sz w:val="24"/>
          <w:szCs w:val="24"/>
        </w:rPr>
        <w:lastRenderedPageBreak/>
        <w:t>De igual modo, destacamos la fortaleza financiera de la estructura de los pasivos. La métrica de activos líquidos a depósitos, por un lado, al igual que la de activos líquidos a activos, promediando un 17.2% y 12.4% respectivamente.  Además, el crecimiento en los depósitos a plazo, especialmente de personas naturales con altas tasas de renovación, refuerza aún más nuestra posición de fondeo y liquidez.</w:t>
      </w:r>
    </w:p>
    <w:p w14:paraId="758FD862" w14:textId="2D63C013" w:rsidR="00A0674B" w:rsidRPr="001C6BA3" w:rsidRDefault="00A0674B" w:rsidP="007447E3">
      <w:pPr>
        <w:spacing w:line="360" w:lineRule="auto"/>
        <w:jc w:val="both"/>
        <w:rPr>
          <w:rFonts w:ascii="Arial" w:hAnsi="Arial" w:cs="Arial"/>
          <w:sz w:val="24"/>
          <w:szCs w:val="24"/>
        </w:rPr>
      </w:pPr>
      <w:r w:rsidRPr="001C6BA3">
        <w:rPr>
          <w:rFonts w:ascii="Arial" w:hAnsi="Arial" w:cs="Arial"/>
          <w:sz w:val="24"/>
          <w:szCs w:val="24"/>
        </w:rPr>
        <w:t xml:space="preserve">En </w:t>
      </w:r>
      <w:r w:rsidR="00436B51" w:rsidRPr="001C6BA3">
        <w:rPr>
          <w:rFonts w:ascii="Arial" w:hAnsi="Arial" w:cs="Arial"/>
          <w:sz w:val="24"/>
          <w:szCs w:val="24"/>
        </w:rPr>
        <w:t>conclusión</w:t>
      </w:r>
      <w:r w:rsidRPr="001C6BA3">
        <w:rPr>
          <w:rFonts w:ascii="Arial" w:hAnsi="Arial" w:cs="Arial"/>
          <w:sz w:val="24"/>
          <w:szCs w:val="24"/>
        </w:rPr>
        <w:t xml:space="preserve">, el </w:t>
      </w:r>
      <w:r w:rsidR="00436B51" w:rsidRPr="001C6BA3">
        <w:rPr>
          <w:rFonts w:ascii="Arial" w:hAnsi="Arial" w:cs="Arial"/>
          <w:sz w:val="24"/>
          <w:szCs w:val="24"/>
        </w:rPr>
        <w:t>sistema</w:t>
      </w:r>
      <w:r w:rsidRPr="001C6BA3">
        <w:rPr>
          <w:rFonts w:ascii="Arial" w:hAnsi="Arial" w:cs="Arial"/>
          <w:sz w:val="24"/>
          <w:szCs w:val="24"/>
        </w:rPr>
        <w:t xml:space="preserve"> bancario</w:t>
      </w:r>
      <w:r w:rsidR="00436B51" w:rsidRPr="001C6BA3">
        <w:rPr>
          <w:rFonts w:ascii="Arial" w:hAnsi="Arial" w:cs="Arial"/>
          <w:sz w:val="24"/>
          <w:szCs w:val="24"/>
        </w:rPr>
        <w:t xml:space="preserve"> panameño</w:t>
      </w:r>
      <w:r w:rsidRPr="001C6BA3">
        <w:rPr>
          <w:rFonts w:ascii="Arial" w:hAnsi="Arial" w:cs="Arial"/>
          <w:sz w:val="24"/>
          <w:szCs w:val="24"/>
        </w:rPr>
        <w:t xml:space="preserve"> se encuentra en una posición adecuada de liquidez, para enfrentar desafíos futuros y continuar apoyando el crecimiento económico. </w:t>
      </w:r>
    </w:p>
    <w:p w14:paraId="7EB90993" w14:textId="5EE1ABB7" w:rsidR="00D97CF1" w:rsidRPr="001C6BA3" w:rsidRDefault="00AB6382" w:rsidP="007447E3">
      <w:pPr>
        <w:spacing w:line="360" w:lineRule="auto"/>
        <w:jc w:val="both"/>
        <w:rPr>
          <w:rFonts w:ascii="Arial" w:hAnsi="Arial" w:cs="Arial"/>
          <w:b/>
          <w:bCs/>
          <w:sz w:val="32"/>
          <w:szCs w:val="32"/>
          <w:lang w:val="es-ES"/>
        </w:rPr>
      </w:pPr>
      <w:r w:rsidRPr="001C6BA3">
        <w:rPr>
          <w:rFonts w:ascii="Arial" w:hAnsi="Arial" w:cs="Arial"/>
          <w:b/>
          <w:bCs/>
          <w:sz w:val="32"/>
          <w:szCs w:val="32"/>
          <w:lang w:val="es-ES"/>
        </w:rPr>
        <w:t>Crédito</w:t>
      </w:r>
    </w:p>
    <w:p w14:paraId="18794DDB" w14:textId="77777777" w:rsidR="008A6382" w:rsidRPr="001C6BA3" w:rsidRDefault="008A6382" w:rsidP="007447E3">
      <w:pPr>
        <w:spacing w:line="360" w:lineRule="auto"/>
        <w:jc w:val="both"/>
        <w:rPr>
          <w:rFonts w:ascii="Arial" w:hAnsi="Arial" w:cs="Arial"/>
          <w:sz w:val="24"/>
          <w:szCs w:val="24"/>
        </w:rPr>
      </w:pPr>
      <w:r w:rsidRPr="001C6BA3">
        <w:rPr>
          <w:rFonts w:ascii="Arial" w:hAnsi="Arial" w:cs="Arial"/>
          <w:sz w:val="24"/>
          <w:szCs w:val="24"/>
        </w:rPr>
        <w:t xml:space="preserve">En lo que respecta a la cartera de créditos totales, se registró un saldo de USD 87,000 millones. Esto representa un incremento del 4.6% frente al cierre de 2022, que representa un aumento de USD 3,860 millones.  Este avance, tanto en los créditos locales como internacionales, refleja una dinámica y proactiva gestión de crédito de nuestra banca en el mercado panameño y regional; y más importante aún, es un testimonio de la confianza en la solidez y estabilidad de nuestro sistema bancario.  </w:t>
      </w:r>
    </w:p>
    <w:p w14:paraId="00AC7B1E" w14:textId="77777777" w:rsidR="008A6382" w:rsidRPr="001C6BA3" w:rsidRDefault="008A6382" w:rsidP="007447E3">
      <w:pPr>
        <w:spacing w:line="360" w:lineRule="auto"/>
        <w:jc w:val="both"/>
        <w:rPr>
          <w:rFonts w:ascii="Arial" w:hAnsi="Arial" w:cs="Arial"/>
          <w:sz w:val="24"/>
          <w:szCs w:val="24"/>
        </w:rPr>
      </w:pPr>
      <w:r w:rsidRPr="001C6BA3">
        <w:rPr>
          <w:rFonts w:ascii="Arial" w:hAnsi="Arial" w:cs="Arial"/>
          <w:sz w:val="24"/>
          <w:szCs w:val="24"/>
        </w:rPr>
        <w:t>A la fecha, el crédito local constituye el 68% del total, mientras que el crédito internacional representa el 32%, con crecimientos de 3.8% y 6.3% respectivamente.  Ello destaca la capacidad de los bancos para fomentar el crecimiento económico de manera inclusiva, apoyando tanto a las comunidades locales como a nuestros socios internacionales.</w:t>
      </w:r>
    </w:p>
    <w:p w14:paraId="73FBD5FB" w14:textId="77777777" w:rsidR="008A6382" w:rsidRPr="001C6BA3" w:rsidRDefault="008A6382" w:rsidP="007447E3">
      <w:pPr>
        <w:spacing w:line="360" w:lineRule="auto"/>
        <w:jc w:val="both"/>
        <w:rPr>
          <w:rFonts w:ascii="Arial" w:hAnsi="Arial" w:cs="Arial"/>
          <w:sz w:val="24"/>
          <w:szCs w:val="24"/>
        </w:rPr>
      </w:pPr>
      <w:r w:rsidRPr="001C6BA3">
        <w:rPr>
          <w:rFonts w:ascii="Arial" w:hAnsi="Arial" w:cs="Arial"/>
          <w:sz w:val="24"/>
          <w:szCs w:val="24"/>
        </w:rPr>
        <w:t>En el ámbito local, la expansión se ha manifestado en la mayoría de las carteras, a pesar de un entorno de incremento en las tasas de interés activas. Este fenómeno puede ser atribuido, en parte, al sólido desempeño de los sectores de la economía real durante los tres primeros trimestres del año.   No obstante, desde octubre se ha percibido una desaceleración, tendencia que podría mantenerse si la actividad económica experimenta una ralentización este año, que, junto a las tasas de interés actuales, y la carga financiera de empresas y hogares, podría restringir la demanda de financiamiento.</w:t>
      </w:r>
    </w:p>
    <w:p w14:paraId="1F4D0535" w14:textId="3B0458A9" w:rsidR="008A6382" w:rsidRPr="001C6BA3" w:rsidRDefault="008A6382" w:rsidP="007447E3">
      <w:pPr>
        <w:spacing w:line="360" w:lineRule="auto"/>
        <w:jc w:val="both"/>
        <w:rPr>
          <w:rFonts w:ascii="Arial" w:hAnsi="Arial" w:cs="Arial"/>
          <w:sz w:val="24"/>
          <w:szCs w:val="24"/>
          <w:lang w:val="es-ES"/>
        </w:rPr>
      </w:pPr>
      <w:r w:rsidRPr="001C6BA3">
        <w:rPr>
          <w:rFonts w:ascii="Arial" w:hAnsi="Arial" w:cs="Arial"/>
          <w:sz w:val="24"/>
          <w:szCs w:val="24"/>
        </w:rPr>
        <w:lastRenderedPageBreak/>
        <w:t>La relación deuda con respecto al PIB, de las empresas y hogares,</w:t>
      </w:r>
      <w:r w:rsidR="008632C1" w:rsidRPr="001C6BA3">
        <w:rPr>
          <w:rFonts w:ascii="Arial" w:hAnsi="Arial" w:cs="Arial"/>
          <w:sz w:val="24"/>
          <w:szCs w:val="24"/>
        </w:rPr>
        <w:t xml:space="preserve"> tomando como año base el 2018,</w:t>
      </w:r>
      <w:r w:rsidRPr="001C6BA3">
        <w:rPr>
          <w:rFonts w:ascii="Arial" w:hAnsi="Arial" w:cs="Arial"/>
          <w:sz w:val="24"/>
          <w:szCs w:val="24"/>
        </w:rPr>
        <w:t xml:space="preserve"> se sitúa alrededor del 70%, 8% menor que el observado en el 2022.   En donde la deuda de los hogares es del 39% del PIB.</w:t>
      </w:r>
    </w:p>
    <w:p w14:paraId="68CD8D68" w14:textId="77777777" w:rsidR="008A6382" w:rsidRPr="001C6BA3" w:rsidRDefault="008A6382" w:rsidP="007447E3">
      <w:pPr>
        <w:spacing w:line="360" w:lineRule="auto"/>
        <w:jc w:val="both"/>
        <w:rPr>
          <w:rFonts w:ascii="Arial" w:hAnsi="Arial" w:cs="Arial"/>
          <w:sz w:val="24"/>
          <w:szCs w:val="24"/>
        </w:rPr>
      </w:pPr>
      <w:r w:rsidRPr="001C6BA3">
        <w:rPr>
          <w:rFonts w:ascii="Arial" w:hAnsi="Arial" w:cs="Arial"/>
          <w:sz w:val="24"/>
          <w:szCs w:val="24"/>
        </w:rPr>
        <w:t>La deuda total de los hogares registrada en las entidades bancarias alcanza los USD 32,892 millones, presentando un crecimiento interanual de 5%.    En promedio esta cartera de consumo ha crecido en los últimos 6 años alrededor del 4.6%.</w:t>
      </w:r>
    </w:p>
    <w:p w14:paraId="30B6AFBD" w14:textId="77777777" w:rsidR="008A6382" w:rsidRPr="001C6BA3" w:rsidRDefault="008A6382" w:rsidP="007447E3">
      <w:pPr>
        <w:spacing w:line="360" w:lineRule="auto"/>
        <w:jc w:val="both"/>
        <w:rPr>
          <w:rFonts w:ascii="Arial" w:hAnsi="Arial" w:cs="Arial"/>
          <w:sz w:val="24"/>
          <w:szCs w:val="24"/>
        </w:rPr>
      </w:pPr>
      <w:r w:rsidRPr="001C6BA3">
        <w:rPr>
          <w:rFonts w:ascii="Arial" w:hAnsi="Arial" w:cs="Arial"/>
          <w:sz w:val="24"/>
          <w:szCs w:val="24"/>
        </w:rPr>
        <w:t>La cartera de hipotecas mantiene un 58% del total de consumo y ha presentado un crecimiento sostenido aún en los años de pandemia. Le sigue préstamo personal con el 30%.</w:t>
      </w:r>
    </w:p>
    <w:p w14:paraId="6B80C125" w14:textId="77777777" w:rsidR="008A6382" w:rsidRPr="001C6BA3" w:rsidRDefault="008A6382" w:rsidP="007447E3">
      <w:pPr>
        <w:spacing w:line="360" w:lineRule="auto"/>
        <w:jc w:val="both"/>
        <w:rPr>
          <w:rFonts w:ascii="Arial" w:hAnsi="Arial" w:cs="Arial"/>
          <w:sz w:val="24"/>
          <w:szCs w:val="24"/>
        </w:rPr>
      </w:pPr>
      <w:r w:rsidRPr="001C6BA3">
        <w:rPr>
          <w:rFonts w:ascii="Arial" w:hAnsi="Arial" w:cs="Arial"/>
          <w:sz w:val="24"/>
          <w:szCs w:val="24"/>
        </w:rPr>
        <w:t xml:space="preserve">En cuanto a los cálculos preliminares del indicador deuda/ingreso, los clientes con salarios hasta $800 tienen un indicador de 49.8%, situándolos muy cerca de presentar un sobreendeudamiento. El indicador preliminar deuda/ingreso para todo el sistema bancario se sitúa en el 46% con un riesgo de sobreendeudamiento en los hogares panameños. </w:t>
      </w:r>
    </w:p>
    <w:p w14:paraId="457EA054" w14:textId="77777777" w:rsidR="008A6382" w:rsidRPr="001C6BA3" w:rsidRDefault="008A6382" w:rsidP="007447E3">
      <w:pPr>
        <w:spacing w:line="360" w:lineRule="auto"/>
        <w:jc w:val="both"/>
        <w:rPr>
          <w:rFonts w:ascii="Arial" w:hAnsi="Arial" w:cs="Arial"/>
          <w:sz w:val="24"/>
          <w:szCs w:val="24"/>
        </w:rPr>
      </w:pPr>
      <w:r w:rsidRPr="001C6BA3">
        <w:rPr>
          <w:rFonts w:ascii="Arial" w:hAnsi="Arial" w:cs="Arial"/>
          <w:sz w:val="24"/>
          <w:szCs w:val="24"/>
        </w:rPr>
        <w:t>Cabe señalar que el 80% de los clientes de la cartera de consumo están en salarios menores a $2,500, mientras que la mediana del salario para el sistema es de alrededor de $1,200.</w:t>
      </w:r>
    </w:p>
    <w:p w14:paraId="25D981F8" w14:textId="77777777" w:rsidR="008A6382" w:rsidRPr="001C6BA3" w:rsidRDefault="008A6382" w:rsidP="007447E3">
      <w:pPr>
        <w:spacing w:line="360" w:lineRule="auto"/>
        <w:jc w:val="both"/>
        <w:rPr>
          <w:rFonts w:ascii="Arial" w:hAnsi="Arial" w:cs="Arial"/>
          <w:sz w:val="24"/>
          <w:szCs w:val="24"/>
        </w:rPr>
      </w:pPr>
      <w:r w:rsidRPr="001C6BA3">
        <w:rPr>
          <w:rFonts w:ascii="Arial" w:hAnsi="Arial" w:cs="Arial"/>
          <w:sz w:val="24"/>
          <w:szCs w:val="24"/>
        </w:rPr>
        <w:t>En el ámbito internacional, el desarrollo de los mercados regionales ha sido excepcionalmente positivo.  Destaca el mercado colombiano, con una participación del 18%, seguido por Brasil con un 10%, Costa Rica con 9%, y México, Guatemala y Ecuador, cada uno con 8%.   Este desempeño refuerza la vigencia regional de la plaza panameña, y destaca la eficacia de las estrategias de diversificación y expansión en la región.</w:t>
      </w:r>
    </w:p>
    <w:p w14:paraId="245BDD90" w14:textId="77777777" w:rsidR="008A6382" w:rsidRPr="001C6BA3" w:rsidRDefault="008A6382" w:rsidP="007447E3">
      <w:pPr>
        <w:spacing w:line="360" w:lineRule="auto"/>
        <w:jc w:val="both"/>
        <w:rPr>
          <w:rFonts w:ascii="Arial" w:hAnsi="Arial" w:cs="Arial"/>
          <w:sz w:val="24"/>
          <w:szCs w:val="24"/>
        </w:rPr>
      </w:pPr>
      <w:r w:rsidRPr="001C6BA3">
        <w:rPr>
          <w:rFonts w:ascii="Arial" w:hAnsi="Arial" w:cs="Arial"/>
          <w:sz w:val="24"/>
          <w:szCs w:val="24"/>
        </w:rPr>
        <w:t xml:space="preserve">Sin embargo, debemos ser conscientes de los retos que enfrenta el sector, como tasas de interés internacionales, volatilidad en los mercados financieros y la inestabilidad política en algunas jurisdicciones destinatarias de crédito retos que requieren de atención constante y de una gestión estratégica enfocada en la sostenibilidad a largo plazo.  </w:t>
      </w:r>
    </w:p>
    <w:p w14:paraId="364D61E8" w14:textId="12856D91" w:rsidR="00AB6382" w:rsidRPr="001C6BA3" w:rsidRDefault="005E3044" w:rsidP="007447E3">
      <w:pPr>
        <w:spacing w:line="360" w:lineRule="auto"/>
        <w:jc w:val="both"/>
        <w:rPr>
          <w:rFonts w:ascii="Arial" w:hAnsi="Arial" w:cs="Arial"/>
          <w:b/>
          <w:bCs/>
          <w:sz w:val="32"/>
          <w:szCs w:val="32"/>
          <w:lang w:val="es-ES"/>
        </w:rPr>
      </w:pPr>
      <w:r w:rsidRPr="001C6BA3">
        <w:rPr>
          <w:rFonts w:ascii="Arial" w:hAnsi="Arial" w:cs="Arial"/>
          <w:b/>
          <w:bCs/>
          <w:sz w:val="32"/>
          <w:szCs w:val="32"/>
          <w:lang w:val="es-ES"/>
        </w:rPr>
        <w:lastRenderedPageBreak/>
        <w:t>Créditos nuevos</w:t>
      </w:r>
    </w:p>
    <w:p w14:paraId="72868448" w14:textId="77777777" w:rsidR="004677AC" w:rsidRPr="001C6BA3" w:rsidRDefault="004677AC" w:rsidP="007447E3">
      <w:pPr>
        <w:spacing w:line="360" w:lineRule="auto"/>
        <w:jc w:val="both"/>
        <w:rPr>
          <w:rFonts w:ascii="Arial" w:hAnsi="Arial" w:cs="Arial"/>
          <w:sz w:val="24"/>
          <w:szCs w:val="24"/>
        </w:rPr>
      </w:pPr>
      <w:r w:rsidRPr="001C6BA3">
        <w:rPr>
          <w:rFonts w:ascii="Arial" w:hAnsi="Arial" w:cs="Arial"/>
          <w:sz w:val="24"/>
          <w:szCs w:val="24"/>
        </w:rPr>
        <w:t xml:space="preserve">La cartera de créditos nuevos totalizó USD 22,768 millones, con un crecimiento de 7%, que fue positivo, pero demuestra el impacto de los recientes acontecimientos nacionales, ya que los dos años anteriores reflejaron crecimientos de dos dígitos.    Y el volumen aún está por debajo del cierre del año 2019. </w:t>
      </w:r>
    </w:p>
    <w:p w14:paraId="2D8DB691" w14:textId="4935DF34" w:rsidR="004677AC" w:rsidRPr="001C6BA3" w:rsidRDefault="004677AC" w:rsidP="007447E3">
      <w:pPr>
        <w:spacing w:line="360" w:lineRule="auto"/>
        <w:jc w:val="both"/>
        <w:rPr>
          <w:rFonts w:ascii="Arial" w:hAnsi="Arial" w:cs="Arial"/>
          <w:sz w:val="24"/>
          <w:szCs w:val="24"/>
        </w:rPr>
      </w:pPr>
      <w:r w:rsidRPr="001C6BA3">
        <w:rPr>
          <w:rFonts w:ascii="Arial" w:hAnsi="Arial" w:cs="Arial"/>
          <w:sz w:val="24"/>
          <w:szCs w:val="24"/>
        </w:rPr>
        <w:t>Los sectores con mayor participación en los desembolsos nuevos fueron el sector comercial (incluyendo servicios), con 43%, seguido de consumo con un 12% e industria un 11%.</w:t>
      </w:r>
    </w:p>
    <w:p w14:paraId="30A1AE9F" w14:textId="77777777" w:rsidR="004677AC" w:rsidRPr="001C6BA3" w:rsidRDefault="004677AC" w:rsidP="007447E3">
      <w:pPr>
        <w:spacing w:line="360" w:lineRule="auto"/>
        <w:jc w:val="both"/>
        <w:rPr>
          <w:rFonts w:ascii="Arial" w:hAnsi="Arial" w:cs="Arial"/>
          <w:sz w:val="24"/>
          <w:szCs w:val="24"/>
        </w:rPr>
      </w:pPr>
      <w:r w:rsidRPr="001C6BA3">
        <w:rPr>
          <w:rFonts w:ascii="Arial" w:hAnsi="Arial" w:cs="Arial"/>
          <w:sz w:val="24"/>
          <w:szCs w:val="24"/>
        </w:rPr>
        <w:t>Si bien el desempeño ha sido positivo, el panorama futuro podría afectarse por factores como una desaceleración económica, con efectos en el empleo formal, y un incremento en la inflación, que podrían moderar el actual impulso crediticio.  Por ello, es crucial que consumidores y empresas asuman compromisos crediticios responsablemente, donde prevalezca la sostenibilidad financiera y la gestión prudente de riesgos para evitar mayores cargas financieras a futuro.</w:t>
      </w:r>
    </w:p>
    <w:p w14:paraId="45B4CA5A" w14:textId="77777777" w:rsidR="004677AC" w:rsidRPr="001C6BA3" w:rsidRDefault="004677AC" w:rsidP="007447E3">
      <w:pPr>
        <w:spacing w:line="360" w:lineRule="auto"/>
        <w:jc w:val="both"/>
        <w:rPr>
          <w:rFonts w:ascii="Arial" w:hAnsi="Arial" w:cs="Arial"/>
          <w:sz w:val="24"/>
          <w:szCs w:val="24"/>
        </w:rPr>
      </w:pPr>
      <w:r w:rsidRPr="001C6BA3">
        <w:rPr>
          <w:rFonts w:ascii="Arial" w:hAnsi="Arial" w:cs="Arial"/>
          <w:sz w:val="24"/>
          <w:szCs w:val="24"/>
        </w:rPr>
        <w:t>Al analizar el comportamiento crediticio en la época pre y post electoral, es decir 6 meses antes y después de las elecciones se observa un leve estancamiento en los meses previos a las elecciones en lo que se refiere a la banca de consumo.   Ello podría deberse a la percepción de que existan instituciones gubernamentales que registren inestabilidad laboral al momento de los cambios de gobierno.</w:t>
      </w:r>
    </w:p>
    <w:p w14:paraId="43C3A833" w14:textId="77777777" w:rsidR="004677AC" w:rsidRPr="001C6BA3" w:rsidRDefault="004677AC" w:rsidP="007447E3">
      <w:pPr>
        <w:spacing w:line="360" w:lineRule="auto"/>
        <w:jc w:val="both"/>
        <w:rPr>
          <w:rFonts w:ascii="Arial" w:hAnsi="Arial" w:cs="Arial"/>
          <w:sz w:val="24"/>
          <w:szCs w:val="24"/>
        </w:rPr>
      </w:pPr>
      <w:r w:rsidRPr="001C6BA3">
        <w:rPr>
          <w:rFonts w:ascii="Arial" w:hAnsi="Arial" w:cs="Arial"/>
          <w:sz w:val="24"/>
          <w:szCs w:val="24"/>
        </w:rPr>
        <w:t xml:space="preserve">Lo que si se observa es el impacto del comportamiento del ciclo económico, tanto en el flujo de desembolsos nuevos, como también en el pago de obligaciones crediticias. Este comportamiento muestra una tendencia positiva, si el ciclo está al alza y viceversa si está a la baja. </w:t>
      </w:r>
    </w:p>
    <w:p w14:paraId="7B2247B6" w14:textId="23C8FE3D" w:rsidR="00AA548E" w:rsidRPr="001C6BA3" w:rsidRDefault="004677AC" w:rsidP="007447E3">
      <w:pPr>
        <w:spacing w:line="360" w:lineRule="auto"/>
        <w:jc w:val="both"/>
        <w:rPr>
          <w:rFonts w:ascii="Arial" w:hAnsi="Arial" w:cs="Arial"/>
          <w:sz w:val="24"/>
          <w:szCs w:val="24"/>
        </w:rPr>
      </w:pPr>
      <w:r w:rsidRPr="001C6BA3">
        <w:rPr>
          <w:rFonts w:ascii="Arial" w:hAnsi="Arial" w:cs="Arial"/>
          <w:sz w:val="24"/>
          <w:szCs w:val="24"/>
        </w:rPr>
        <w:t xml:space="preserve">En 2009, año electoral, se observó una disminución en el ritmo de desembolsos y en el pago de obligaciones, sin embargo, estábamos inmersos en una crisis </w:t>
      </w:r>
      <w:r w:rsidR="00705781" w:rsidRPr="001C6BA3">
        <w:rPr>
          <w:rFonts w:ascii="Arial" w:hAnsi="Arial" w:cs="Arial"/>
          <w:sz w:val="24"/>
          <w:szCs w:val="24"/>
        </w:rPr>
        <w:t xml:space="preserve">financiera </w:t>
      </w:r>
      <w:r w:rsidRPr="001C6BA3">
        <w:rPr>
          <w:rFonts w:ascii="Arial" w:hAnsi="Arial" w:cs="Arial"/>
          <w:sz w:val="24"/>
          <w:szCs w:val="24"/>
        </w:rPr>
        <w:t>mundial, que también nos afectó.</w:t>
      </w:r>
    </w:p>
    <w:p w14:paraId="7EB3769F" w14:textId="70CE243A" w:rsidR="00174AF4" w:rsidRPr="001C6BA3" w:rsidRDefault="000E537E" w:rsidP="007447E3">
      <w:pPr>
        <w:spacing w:line="360" w:lineRule="auto"/>
        <w:jc w:val="both"/>
        <w:rPr>
          <w:rFonts w:ascii="Arial" w:hAnsi="Arial" w:cs="Arial"/>
          <w:b/>
          <w:bCs/>
          <w:sz w:val="32"/>
          <w:szCs w:val="32"/>
          <w:lang w:val="es-ES"/>
        </w:rPr>
      </w:pPr>
      <w:r w:rsidRPr="001C6BA3">
        <w:rPr>
          <w:rFonts w:ascii="Arial" w:hAnsi="Arial" w:cs="Arial"/>
          <w:b/>
          <w:bCs/>
          <w:sz w:val="32"/>
          <w:szCs w:val="32"/>
          <w:lang w:val="es-ES"/>
        </w:rPr>
        <w:t>Calidad de Crédito</w:t>
      </w:r>
    </w:p>
    <w:p w14:paraId="075F84D5" w14:textId="77777777" w:rsidR="00D03A8B" w:rsidRPr="001C6BA3" w:rsidRDefault="00D03A8B" w:rsidP="007447E3">
      <w:pPr>
        <w:spacing w:line="360" w:lineRule="auto"/>
        <w:jc w:val="both"/>
        <w:rPr>
          <w:rFonts w:ascii="Arial" w:hAnsi="Arial" w:cs="Arial"/>
          <w:sz w:val="24"/>
          <w:szCs w:val="24"/>
        </w:rPr>
      </w:pPr>
      <w:r w:rsidRPr="001C6BA3">
        <w:rPr>
          <w:rFonts w:ascii="Arial" w:hAnsi="Arial" w:cs="Arial"/>
          <w:sz w:val="24"/>
          <w:szCs w:val="24"/>
        </w:rPr>
        <w:lastRenderedPageBreak/>
        <w:t>Analizando la salud de la cartera de préstamos del Sistema Bancario Nacional, el índice de mora, porcentaje de atrasos de los pagos, entre 30 a 90 días, muestra una tasa de 1.8%, en conjunto con los créditos con atrasos de más de 90 días, que mantiene una ratio de 2.6%,</w:t>
      </w:r>
    </w:p>
    <w:p w14:paraId="7677A56F" w14:textId="77777777" w:rsidR="00D03A8B" w:rsidRPr="001C6BA3" w:rsidRDefault="00D03A8B" w:rsidP="007447E3">
      <w:pPr>
        <w:spacing w:line="360" w:lineRule="auto"/>
        <w:jc w:val="both"/>
        <w:rPr>
          <w:rFonts w:ascii="Arial" w:hAnsi="Arial" w:cs="Arial"/>
          <w:sz w:val="24"/>
          <w:szCs w:val="24"/>
        </w:rPr>
      </w:pPr>
      <w:r w:rsidRPr="001C6BA3">
        <w:rPr>
          <w:rFonts w:ascii="Arial" w:hAnsi="Arial" w:cs="Arial"/>
          <w:sz w:val="24"/>
          <w:szCs w:val="24"/>
        </w:rPr>
        <w:t xml:space="preserve">Esta métrica, refleja que, a pesar de la coyuntura actual, la banca gestiona una política de cobro adecuada, aún con sectores productivos que mantienen niveles de morosidad arriba de 4%, como la construcción y el sector primario, frente a otros de mejor desempeño, como la industria y el sector servicio.  </w:t>
      </w:r>
    </w:p>
    <w:p w14:paraId="67128D28" w14:textId="78E753B8" w:rsidR="00D03A8B" w:rsidRPr="001C6BA3" w:rsidRDefault="00D03A8B" w:rsidP="007447E3">
      <w:pPr>
        <w:spacing w:line="360" w:lineRule="auto"/>
        <w:jc w:val="both"/>
        <w:rPr>
          <w:rFonts w:ascii="Arial" w:hAnsi="Arial" w:cs="Arial"/>
          <w:sz w:val="24"/>
          <w:szCs w:val="24"/>
        </w:rPr>
      </w:pPr>
      <w:r w:rsidRPr="001C6BA3">
        <w:rPr>
          <w:rFonts w:ascii="Arial" w:hAnsi="Arial" w:cs="Arial"/>
          <w:sz w:val="24"/>
          <w:szCs w:val="24"/>
        </w:rPr>
        <w:t>En la banca de hogares, se ve un crecimiento de la mora contra el 2022.  Donde los préstamos personales presentan un 4.</w:t>
      </w:r>
      <w:r w:rsidR="009712F2" w:rsidRPr="001C6BA3">
        <w:rPr>
          <w:rFonts w:ascii="Arial" w:hAnsi="Arial" w:cs="Arial"/>
          <w:sz w:val="24"/>
          <w:szCs w:val="24"/>
        </w:rPr>
        <w:t>7</w:t>
      </w:r>
      <w:r w:rsidRPr="001C6BA3">
        <w:rPr>
          <w:rFonts w:ascii="Arial" w:hAnsi="Arial" w:cs="Arial"/>
          <w:sz w:val="24"/>
          <w:szCs w:val="24"/>
        </w:rPr>
        <w:t xml:space="preserve">%, la cartera hipotecaria 7.6%, los préstamos para autos 4.3% y tarjetas de crédito un 8.5%.   Aunque estos niveles de </w:t>
      </w:r>
      <w:r w:rsidR="00AA548E" w:rsidRPr="001C6BA3">
        <w:rPr>
          <w:rFonts w:ascii="Arial" w:hAnsi="Arial" w:cs="Arial"/>
          <w:sz w:val="24"/>
          <w:szCs w:val="24"/>
        </w:rPr>
        <w:t>mora</w:t>
      </w:r>
      <w:r w:rsidRPr="001C6BA3">
        <w:rPr>
          <w:rFonts w:ascii="Arial" w:hAnsi="Arial" w:cs="Arial"/>
          <w:sz w:val="24"/>
          <w:szCs w:val="24"/>
        </w:rPr>
        <w:t xml:space="preserve"> son superiores a los años previos a la pandemia, siguen siendo razonable</w:t>
      </w:r>
      <w:r w:rsidR="00D113B0" w:rsidRPr="001C6BA3">
        <w:rPr>
          <w:rFonts w:ascii="Arial" w:hAnsi="Arial" w:cs="Arial"/>
          <w:sz w:val="24"/>
          <w:szCs w:val="24"/>
        </w:rPr>
        <w:t>mente manejables</w:t>
      </w:r>
      <w:r w:rsidRPr="001C6BA3">
        <w:rPr>
          <w:rFonts w:ascii="Arial" w:hAnsi="Arial" w:cs="Arial"/>
          <w:sz w:val="24"/>
          <w:szCs w:val="24"/>
        </w:rPr>
        <w:t>, y nuestros equipos los monitorean de cerca para poder mitigar posibles pérdidas por incumplimiento crediticio.</w:t>
      </w:r>
    </w:p>
    <w:p w14:paraId="36F18C60" w14:textId="5B2CA9C9" w:rsidR="00506C5C" w:rsidRPr="001C6BA3" w:rsidRDefault="00D020A3" w:rsidP="007447E3">
      <w:pPr>
        <w:spacing w:line="360" w:lineRule="auto"/>
        <w:jc w:val="both"/>
        <w:rPr>
          <w:rFonts w:ascii="Arial" w:hAnsi="Arial" w:cs="Arial"/>
          <w:sz w:val="24"/>
          <w:szCs w:val="24"/>
        </w:rPr>
      </w:pPr>
      <w:r w:rsidRPr="001C6BA3">
        <w:rPr>
          <w:rFonts w:ascii="Arial" w:hAnsi="Arial" w:cs="Arial"/>
          <w:sz w:val="24"/>
          <w:szCs w:val="24"/>
        </w:rPr>
        <w:t>A finalizar esta presentación, podrán encontrar disponible en nuestro sitio</w:t>
      </w:r>
      <w:r w:rsidR="00CC2AF4" w:rsidRPr="001C6BA3">
        <w:rPr>
          <w:rFonts w:ascii="Arial" w:hAnsi="Arial" w:cs="Arial"/>
          <w:sz w:val="24"/>
          <w:szCs w:val="24"/>
        </w:rPr>
        <w:t xml:space="preserve"> web, </w:t>
      </w:r>
      <w:r w:rsidR="00531353" w:rsidRPr="001C6BA3">
        <w:rPr>
          <w:rFonts w:ascii="Arial" w:hAnsi="Arial" w:cs="Arial"/>
          <w:sz w:val="24"/>
          <w:szCs w:val="24"/>
        </w:rPr>
        <w:t>el</w:t>
      </w:r>
      <w:r w:rsidR="00CC2AF4" w:rsidRPr="001C6BA3">
        <w:rPr>
          <w:rFonts w:ascii="Arial" w:hAnsi="Arial" w:cs="Arial"/>
          <w:sz w:val="24"/>
          <w:szCs w:val="24"/>
        </w:rPr>
        <w:t xml:space="preserve"> Informe de Actividad Bancaria </w:t>
      </w:r>
      <w:r w:rsidR="0078504B" w:rsidRPr="001C6BA3">
        <w:rPr>
          <w:rFonts w:ascii="Arial" w:hAnsi="Arial" w:cs="Arial"/>
          <w:sz w:val="24"/>
          <w:szCs w:val="24"/>
        </w:rPr>
        <w:t xml:space="preserve">a diciembre </w:t>
      </w:r>
      <w:r w:rsidR="00531353" w:rsidRPr="001C6BA3">
        <w:rPr>
          <w:rFonts w:ascii="Arial" w:hAnsi="Arial" w:cs="Arial"/>
          <w:sz w:val="24"/>
          <w:szCs w:val="24"/>
        </w:rPr>
        <w:t xml:space="preserve">que incluye un mayor detalle </w:t>
      </w:r>
      <w:r w:rsidR="00F0260F" w:rsidRPr="001C6BA3">
        <w:rPr>
          <w:rFonts w:ascii="Arial" w:hAnsi="Arial" w:cs="Arial"/>
          <w:sz w:val="24"/>
          <w:szCs w:val="24"/>
        </w:rPr>
        <w:t xml:space="preserve">del crédito </w:t>
      </w:r>
      <w:r w:rsidR="00F0338C" w:rsidRPr="001C6BA3">
        <w:rPr>
          <w:rFonts w:ascii="Arial" w:hAnsi="Arial" w:cs="Arial"/>
          <w:sz w:val="24"/>
          <w:szCs w:val="24"/>
        </w:rPr>
        <w:t>tanto local como externo.</w:t>
      </w:r>
    </w:p>
    <w:p w14:paraId="18F0E404" w14:textId="2F50BC82" w:rsidR="00AB6382" w:rsidRPr="001C6BA3" w:rsidRDefault="005E3044" w:rsidP="007447E3">
      <w:pPr>
        <w:spacing w:line="360" w:lineRule="auto"/>
        <w:jc w:val="both"/>
        <w:rPr>
          <w:rFonts w:ascii="Arial" w:hAnsi="Arial" w:cs="Arial"/>
          <w:b/>
          <w:bCs/>
          <w:sz w:val="32"/>
          <w:szCs w:val="32"/>
          <w:lang w:val="es-ES"/>
        </w:rPr>
      </w:pPr>
      <w:r w:rsidRPr="001C6BA3">
        <w:rPr>
          <w:rFonts w:ascii="Arial" w:hAnsi="Arial" w:cs="Arial"/>
          <w:b/>
          <w:bCs/>
          <w:sz w:val="32"/>
          <w:szCs w:val="32"/>
          <w:lang w:val="es-ES"/>
        </w:rPr>
        <w:t>Calidad de Cartera</w:t>
      </w:r>
    </w:p>
    <w:p w14:paraId="2A3A0F58" w14:textId="588107A1" w:rsidR="005E3044" w:rsidRPr="001C6BA3" w:rsidRDefault="00E40E69"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Al analizar la cartera por </w:t>
      </w:r>
      <w:r w:rsidR="00062CF1" w:rsidRPr="001C6BA3">
        <w:rPr>
          <w:rFonts w:ascii="Arial" w:hAnsi="Arial" w:cs="Arial"/>
          <w:sz w:val="24"/>
          <w:szCs w:val="24"/>
          <w:lang w:val="es-ES"/>
        </w:rPr>
        <w:t xml:space="preserve">calificación de riesgo crediticio, </w:t>
      </w:r>
      <w:r w:rsidR="005E3044" w:rsidRPr="001C6BA3">
        <w:rPr>
          <w:rFonts w:ascii="Arial" w:hAnsi="Arial" w:cs="Arial"/>
          <w:sz w:val="24"/>
          <w:szCs w:val="24"/>
          <w:lang w:val="es-ES"/>
        </w:rPr>
        <w:t xml:space="preserve">el 86% está clasificada como normal y es considerada de riesgo bajo.  </w:t>
      </w:r>
    </w:p>
    <w:p w14:paraId="106B76E4" w14:textId="0C78B192" w:rsidR="005E3044" w:rsidRPr="001C6BA3" w:rsidRDefault="005E3044" w:rsidP="007447E3">
      <w:pPr>
        <w:spacing w:line="360" w:lineRule="auto"/>
        <w:jc w:val="both"/>
        <w:rPr>
          <w:rFonts w:ascii="Arial" w:hAnsi="Arial" w:cs="Arial"/>
          <w:sz w:val="24"/>
          <w:szCs w:val="24"/>
          <w:lang w:val="es-ES"/>
        </w:rPr>
      </w:pPr>
      <w:r w:rsidRPr="001C6BA3">
        <w:rPr>
          <w:rFonts w:ascii="Arial" w:hAnsi="Arial" w:cs="Arial"/>
          <w:sz w:val="24"/>
          <w:szCs w:val="24"/>
          <w:lang w:val="es-ES"/>
        </w:rPr>
        <w:t>Sin embargo, el componente de riesgo medio y alto, es decir clasificada como mención especial, subnormal, dudosa e irrecuperable representa el 1</w:t>
      </w:r>
      <w:r w:rsidR="00325A3E" w:rsidRPr="001C6BA3">
        <w:rPr>
          <w:rFonts w:ascii="Arial" w:hAnsi="Arial" w:cs="Arial"/>
          <w:sz w:val="24"/>
          <w:szCs w:val="24"/>
          <w:lang w:val="es-ES"/>
        </w:rPr>
        <w:t>0</w:t>
      </w:r>
      <w:r w:rsidR="009744C8" w:rsidRPr="001C6BA3">
        <w:rPr>
          <w:rFonts w:ascii="Arial" w:hAnsi="Arial" w:cs="Arial"/>
          <w:sz w:val="24"/>
          <w:szCs w:val="24"/>
          <w:lang w:val="es-ES"/>
        </w:rPr>
        <w:t>%</w:t>
      </w:r>
      <w:r w:rsidR="00325A3E" w:rsidRPr="001C6BA3">
        <w:rPr>
          <w:rFonts w:ascii="Arial" w:hAnsi="Arial" w:cs="Arial"/>
          <w:sz w:val="24"/>
          <w:szCs w:val="24"/>
          <w:lang w:val="es-ES"/>
        </w:rPr>
        <w:t xml:space="preserve"> y 4</w:t>
      </w:r>
      <w:r w:rsidRPr="001C6BA3">
        <w:rPr>
          <w:rFonts w:ascii="Arial" w:hAnsi="Arial" w:cs="Arial"/>
          <w:sz w:val="24"/>
          <w:szCs w:val="24"/>
          <w:lang w:val="es-ES"/>
        </w:rPr>
        <w:t>%</w:t>
      </w:r>
      <w:r w:rsidR="000D2C70" w:rsidRPr="001C6BA3">
        <w:rPr>
          <w:rFonts w:ascii="Arial" w:hAnsi="Arial" w:cs="Arial"/>
          <w:sz w:val="24"/>
          <w:szCs w:val="24"/>
          <w:lang w:val="es-ES"/>
        </w:rPr>
        <w:t xml:space="preserve"> respectivamente</w:t>
      </w:r>
      <w:r w:rsidRPr="001C6BA3">
        <w:rPr>
          <w:rFonts w:ascii="Arial" w:hAnsi="Arial" w:cs="Arial"/>
          <w:sz w:val="24"/>
          <w:szCs w:val="24"/>
          <w:lang w:val="es-ES"/>
        </w:rPr>
        <w:t xml:space="preserve">.  Lo cual representan niveles superiores a los de </w:t>
      </w:r>
      <w:r w:rsidR="00AA548E" w:rsidRPr="001C6BA3">
        <w:rPr>
          <w:rFonts w:ascii="Arial" w:hAnsi="Arial" w:cs="Arial"/>
          <w:sz w:val="24"/>
          <w:szCs w:val="24"/>
          <w:lang w:val="es-ES"/>
        </w:rPr>
        <w:t>prepandemia</w:t>
      </w:r>
      <w:r w:rsidRPr="001C6BA3">
        <w:rPr>
          <w:rFonts w:ascii="Arial" w:hAnsi="Arial" w:cs="Arial"/>
          <w:sz w:val="24"/>
          <w:szCs w:val="24"/>
          <w:lang w:val="es-ES"/>
        </w:rPr>
        <w:t xml:space="preserve">.  Comportamiento que se mantiene tanto en la cartera de hogares como la de empresas.  </w:t>
      </w:r>
    </w:p>
    <w:p w14:paraId="05BCCD17" w14:textId="77777777" w:rsidR="005E3044" w:rsidRPr="001C6BA3" w:rsidRDefault="005E3044"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Instamos a los bancos continuar evaluando y clasificando correctamente su cartera crediticia.  Así como constituyendo las respectivas provisiones, con el propósito de mantener niveles adecuados de cobertura.  </w:t>
      </w:r>
    </w:p>
    <w:p w14:paraId="7E4F7A56" w14:textId="475C8F62" w:rsidR="00EC0B9F" w:rsidRPr="001C6BA3" w:rsidRDefault="008844BD" w:rsidP="007447E3">
      <w:pPr>
        <w:spacing w:line="360" w:lineRule="auto"/>
        <w:jc w:val="both"/>
        <w:rPr>
          <w:rFonts w:ascii="Arial" w:hAnsi="Arial" w:cs="Arial"/>
          <w:b/>
          <w:bCs/>
          <w:sz w:val="32"/>
          <w:szCs w:val="32"/>
          <w:lang w:val="es-ES"/>
        </w:rPr>
      </w:pPr>
      <w:r w:rsidRPr="001C6BA3">
        <w:rPr>
          <w:rFonts w:ascii="Arial" w:hAnsi="Arial" w:cs="Arial"/>
          <w:b/>
          <w:bCs/>
          <w:sz w:val="32"/>
          <w:szCs w:val="32"/>
          <w:lang w:val="es-ES"/>
        </w:rPr>
        <w:lastRenderedPageBreak/>
        <w:t>Depósitos</w:t>
      </w:r>
    </w:p>
    <w:p w14:paraId="6FDF5C0F" w14:textId="26390D0D" w:rsidR="008844BD" w:rsidRPr="001C6BA3" w:rsidRDefault="008844BD" w:rsidP="007447E3">
      <w:pPr>
        <w:spacing w:line="360" w:lineRule="auto"/>
        <w:jc w:val="both"/>
        <w:rPr>
          <w:rFonts w:ascii="Arial" w:hAnsi="Arial" w:cs="Arial"/>
          <w:sz w:val="24"/>
          <w:szCs w:val="24"/>
          <w:lang w:val="es-ES"/>
        </w:rPr>
      </w:pPr>
      <w:r w:rsidRPr="001C6BA3">
        <w:rPr>
          <w:rFonts w:ascii="Arial" w:hAnsi="Arial" w:cs="Arial"/>
          <w:sz w:val="24"/>
          <w:szCs w:val="24"/>
        </w:rPr>
        <w:t>En 2023, el Centro Bancario Internacional consolidó su posición co</w:t>
      </w:r>
      <w:r w:rsidR="002053C4" w:rsidRPr="001C6BA3">
        <w:rPr>
          <w:rFonts w:ascii="Arial" w:hAnsi="Arial" w:cs="Arial"/>
          <w:sz w:val="24"/>
          <w:szCs w:val="24"/>
        </w:rPr>
        <w:t>mo plaza</w:t>
      </w:r>
      <w:r w:rsidRPr="001C6BA3">
        <w:rPr>
          <w:rFonts w:ascii="Arial" w:hAnsi="Arial" w:cs="Arial"/>
          <w:sz w:val="24"/>
          <w:szCs w:val="24"/>
        </w:rPr>
        <w:t xml:space="preserve"> financier</w:t>
      </w:r>
      <w:r w:rsidR="002053C4" w:rsidRPr="001C6BA3">
        <w:rPr>
          <w:rFonts w:ascii="Arial" w:hAnsi="Arial" w:cs="Arial"/>
          <w:sz w:val="24"/>
          <w:szCs w:val="24"/>
        </w:rPr>
        <w:t>a</w:t>
      </w:r>
      <w:r w:rsidRPr="001C6BA3">
        <w:rPr>
          <w:rFonts w:ascii="Arial" w:hAnsi="Arial" w:cs="Arial"/>
          <w:sz w:val="24"/>
          <w:szCs w:val="24"/>
        </w:rPr>
        <w:t xml:space="preserve"> a nivel regional, registrando un crecimiento del 6.</w:t>
      </w:r>
      <w:r w:rsidR="00395B9C" w:rsidRPr="001C6BA3">
        <w:rPr>
          <w:rFonts w:ascii="Arial" w:hAnsi="Arial" w:cs="Arial"/>
          <w:sz w:val="24"/>
          <w:szCs w:val="24"/>
        </w:rPr>
        <w:t>8</w:t>
      </w:r>
      <w:r w:rsidRPr="001C6BA3">
        <w:rPr>
          <w:rFonts w:ascii="Arial" w:hAnsi="Arial" w:cs="Arial"/>
          <w:sz w:val="24"/>
          <w:szCs w:val="24"/>
        </w:rPr>
        <w:t>% en sus depósitos, alcanzando una cifra histórica de USD 105.</w:t>
      </w:r>
      <w:r w:rsidR="004F5569" w:rsidRPr="001C6BA3">
        <w:rPr>
          <w:rFonts w:ascii="Arial" w:hAnsi="Arial" w:cs="Arial"/>
          <w:sz w:val="24"/>
          <w:szCs w:val="24"/>
        </w:rPr>
        <w:t>117</w:t>
      </w:r>
      <w:r w:rsidR="00395B9C" w:rsidRPr="001C6BA3">
        <w:rPr>
          <w:rFonts w:ascii="Arial" w:hAnsi="Arial" w:cs="Arial"/>
          <w:sz w:val="24"/>
          <w:szCs w:val="24"/>
        </w:rPr>
        <w:t xml:space="preserve"> millones</w:t>
      </w:r>
      <w:r w:rsidRPr="001C6BA3">
        <w:rPr>
          <w:rFonts w:ascii="Arial" w:hAnsi="Arial" w:cs="Arial"/>
          <w:sz w:val="24"/>
          <w:szCs w:val="24"/>
        </w:rPr>
        <w:t>. Este notable desempeño, impulsado por un aumento del 3.5% en los depósitos internos y del 12.8% en los depósitos externos, refleja la confianza de los clientes, tanto locales como internacionales, en la solidez y estabilidad de la plaza bancaria panameña.</w:t>
      </w:r>
    </w:p>
    <w:p w14:paraId="66DBAC2D" w14:textId="3A046E75" w:rsidR="008844BD" w:rsidRPr="001C6BA3" w:rsidRDefault="008844BD" w:rsidP="007447E3">
      <w:pPr>
        <w:spacing w:line="360" w:lineRule="auto"/>
        <w:jc w:val="both"/>
        <w:rPr>
          <w:rFonts w:ascii="Arial" w:hAnsi="Arial" w:cs="Arial"/>
          <w:sz w:val="24"/>
          <w:szCs w:val="24"/>
          <w:lang w:val="es-ES"/>
        </w:rPr>
      </w:pPr>
      <w:r w:rsidRPr="001C6BA3">
        <w:rPr>
          <w:rFonts w:ascii="Arial" w:hAnsi="Arial" w:cs="Arial"/>
          <w:sz w:val="24"/>
          <w:szCs w:val="24"/>
        </w:rPr>
        <w:t>De acuerdo con los datos más recientes, los depósitos en Panamá se componen principalmente de depósitos de particulares,</w:t>
      </w:r>
      <w:r w:rsidR="00F26073" w:rsidRPr="001C6BA3">
        <w:rPr>
          <w:rFonts w:ascii="Arial" w:hAnsi="Arial" w:cs="Arial"/>
          <w:sz w:val="24"/>
          <w:szCs w:val="24"/>
        </w:rPr>
        <w:t xml:space="preserve"> </w:t>
      </w:r>
      <w:r w:rsidR="002228B7" w:rsidRPr="001C6BA3">
        <w:rPr>
          <w:rFonts w:ascii="Arial" w:hAnsi="Arial" w:cs="Arial"/>
          <w:sz w:val="24"/>
          <w:szCs w:val="24"/>
        </w:rPr>
        <w:t>60</w:t>
      </w:r>
      <w:r w:rsidR="00F26073" w:rsidRPr="001C6BA3">
        <w:rPr>
          <w:rFonts w:ascii="Arial" w:hAnsi="Arial" w:cs="Arial"/>
          <w:sz w:val="24"/>
          <w:szCs w:val="24"/>
        </w:rPr>
        <w:t xml:space="preserve">% </w:t>
      </w:r>
      <w:r w:rsidR="00F75603" w:rsidRPr="001C6BA3">
        <w:rPr>
          <w:rFonts w:ascii="Arial" w:hAnsi="Arial" w:cs="Arial"/>
          <w:sz w:val="24"/>
          <w:szCs w:val="24"/>
        </w:rPr>
        <w:t xml:space="preserve">de </w:t>
      </w:r>
      <w:r w:rsidR="00F26073" w:rsidRPr="001C6BA3">
        <w:rPr>
          <w:rFonts w:ascii="Arial" w:hAnsi="Arial" w:cs="Arial"/>
          <w:sz w:val="24"/>
          <w:szCs w:val="24"/>
        </w:rPr>
        <w:t>persona</w:t>
      </w:r>
      <w:r w:rsidR="00894768" w:rsidRPr="001C6BA3">
        <w:rPr>
          <w:rFonts w:ascii="Arial" w:hAnsi="Arial" w:cs="Arial"/>
          <w:sz w:val="24"/>
          <w:szCs w:val="24"/>
        </w:rPr>
        <w:t xml:space="preserve"> jurídica y 4</w:t>
      </w:r>
      <w:r w:rsidR="002228B7" w:rsidRPr="001C6BA3">
        <w:rPr>
          <w:rFonts w:ascii="Arial" w:hAnsi="Arial" w:cs="Arial"/>
          <w:sz w:val="24"/>
          <w:szCs w:val="24"/>
        </w:rPr>
        <w:t>0</w:t>
      </w:r>
      <w:r w:rsidR="00894768" w:rsidRPr="001C6BA3">
        <w:rPr>
          <w:rFonts w:ascii="Arial" w:hAnsi="Arial" w:cs="Arial"/>
          <w:sz w:val="24"/>
          <w:szCs w:val="24"/>
        </w:rPr>
        <w:t xml:space="preserve">% persona </w:t>
      </w:r>
      <w:r w:rsidR="00F75603" w:rsidRPr="001C6BA3">
        <w:rPr>
          <w:rFonts w:ascii="Arial" w:hAnsi="Arial" w:cs="Arial"/>
          <w:sz w:val="24"/>
          <w:szCs w:val="24"/>
        </w:rPr>
        <w:t>natural</w:t>
      </w:r>
      <w:r w:rsidR="00894768" w:rsidRPr="001C6BA3">
        <w:rPr>
          <w:rFonts w:ascii="Arial" w:hAnsi="Arial" w:cs="Arial"/>
          <w:sz w:val="24"/>
          <w:szCs w:val="24"/>
        </w:rPr>
        <w:t>,</w:t>
      </w:r>
      <w:r w:rsidRPr="001C6BA3">
        <w:rPr>
          <w:rFonts w:ascii="Arial" w:hAnsi="Arial" w:cs="Arial"/>
          <w:sz w:val="24"/>
          <w:szCs w:val="24"/>
        </w:rPr>
        <w:t xml:space="preserve"> seguidos por los depósitos oficiales y de bancos.  Esta diversificación mitiga el riesgo asociado a la concentración de depósitos en un solo sector o tipo de cliente, y remarca el énfasis de la banca panameña al centrarse en personas, y particularmente en los </w:t>
      </w:r>
      <w:r w:rsidR="00694D9F" w:rsidRPr="001C6BA3">
        <w:rPr>
          <w:rFonts w:ascii="Arial" w:hAnsi="Arial" w:cs="Arial"/>
          <w:sz w:val="24"/>
          <w:szCs w:val="24"/>
        </w:rPr>
        <w:t>nacionales</w:t>
      </w:r>
      <w:r w:rsidRPr="001C6BA3">
        <w:rPr>
          <w:rFonts w:ascii="Arial" w:hAnsi="Arial" w:cs="Arial"/>
          <w:sz w:val="24"/>
          <w:szCs w:val="24"/>
        </w:rPr>
        <w:t>.</w:t>
      </w:r>
    </w:p>
    <w:p w14:paraId="14691696" w14:textId="041BB447" w:rsidR="008844BD" w:rsidRPr="001C6BA3" w:rsidRDefault="008844BD" w:rsidP="007447E3">
      <w:pPr>
        <w:spacing w:line="360" w:lineRule="auto"/>
        <w:jc w:val="both"/>
        <w:rPr>
          <w:rFonts w:ascii="Arial" w:hAnsi="Arial" w:cs="Arial"/>
          <w:sz w:val="24"/>
          <w:szCs w:val="24"/>
          <w:lang w:val="es-ES"/>
        </w:rPr>
      </w:pPr>
      <w:r w:rsidRPr="001C6BA3">
        <w:rPr>
          <w:rFonts w:ascii="Arial" w:hAnsi="Arial" w:cs="Arial"/>
          <w:sz w:val="24"/>
          <w:szCs w:val="24"/>
        </w:rPr>
        <w:t>Con esto, el Centro Bancario Internacional está contribuyendo significativamente a la inclusión financiera en el país, evidenciado por el aumento de depósitos de la población local y la mejora en el número de cuentas bancarias abiertas por adultos, los cuales han venido aumentando de manera consistente en los últimos años. Este crecimiento no sólo refleja el fortalecimiento del sector financiero, sino también un acceso más amplio a los servicios financieros para la población.</w:t>
      </w:r>
    </w:p>
    <w:p w14:paraId="2CD3F526" w14:textId="77777777" w:rsidR="00A20E2B" w:rsidRPr="001C6BA3" w:rsidRDefault="00A20E2B" w:rsidP="007447E3">
      <w:pPr>
        <w:spacing w:line="360" w:lineRule="auto"/>
        <w:jc w:val="both"/>
        <w:rPr>
          <w:rFonts w:ascii="Arial" w:hAnsi="Arial" w:cs="Arial"/>
          <w:sz w:val="24"/>
          <w:szCs w:val="24"/>
        </w:rPr>
      </w:pPr>
      <w:r w:rsidRPr="001C6BA3">
        <w:rPr>
          <w:rFonts w:ascii="Arial" w:hAnsi="Arial" w:cs="Arial"/>
          <w:sz w:val="24"/>
          <w:szCs w:val="24"/>
        </w:rPr>
        <w:t>A pesar de una desaceleración inicial, los depósitos locales recuperaron, superando los niveles prepandemia, con un notable aumento al final del año.   La mayoría de estos depósitos provienen de particulares, demostrando la resiliencia del sistema bancario. La tendencia creciente hacia los depósitos a plazo se ve impulsada por tasas de interés más altas, cambiando la dinámica de los depósitos a la vista y de ahorro.  Esta preferencia por ahorros a término refleja una adaptación a tasas de interés más atractivas, anticipándose que continúe en el futuro.</w:t>
      </w:r>
    </w:p>
    <w:p w14:paraId="5166DF17" w14:textId="77777777" w:rsidR="00952CAE" w:rsidRPr="001C6BA3" w:rsidRDefault="00952CAE" w:rsidP="00952CAE">
      <w:pPr>
        <w:spacing w:line="360" w:lineRule="auto"/>
        <w:jc w:val="both"/>
        <w:rPr>
          <w:rFonts w:ascii="Arial" w:hAnsi="Arial" w:cs="Arial"/>
          <w:sz w:val="24"/>
          <w:szCs w:val="24"/>
          <w:lang w:val="es-ES"/>
        </w:rPr>
      </w:pPr>
      <w:r w:rsidRPr="001C6BA3">
        <w:rPr>
          <w:rFonts w:ascii="Arial" w:hAnsi="Arial" w:cs="Arial"/>
          <w:sz w:val="24"/>
          <w:szCs w:val="24"/>
          <w:lang w:val="es-ES"/>
        </w:rPr>
        <w:t>En su mayoría la fuente de depósitos de particulares proviene de la actividad servicio, seguido de empresas financieras y seguros, estas dos actividades representan cerca del 60% del total de la actividad como origen de los fondos.</w:t>
      </w:r>
    </w:p>
    <w:p w14:paraId="63DDDCA7" w14:textId="728948D3" w:rsidR="00952CAE" w:rsidRPr="001C6BA3" w:rsidRDefault="00952CAE" w:rsidP="00952CAE">
      <w:pPr>
        <w:spacing w:line="360" w:lineRule="auto"/>
        <w:jc w:val="both"/>
        <w:rPr>
          <w:rFonts w:ascii="Arial" w:hAnsi="Arial" w:cs="Arial"/>
          <w:sz w:val="24"/>
          <w:szCs w:val="24"/>
          <w:lang w:val="es-ES"/>
        </w:rPr>
      </w:pPr>
      <w:r w:rsidRPr="001C6BA3">
        <w:rPr>
          <w:rFonts w:ascii="Arial" w:hAnsi="Arial" w:cs="Arial"/>
          <w:sz w:val="24"/>
          <w:szCs w:val="24"/>
          <w:lang w:val="es-ES"/>
        </w:rPr>
        <w:lastRenderedPageBreak/>
        <w:t>El número de cuentas de depósito para persona natural mantienen en su mayoría depósitos menores a $20,000 con un registro de más de 5 millones de número de cuentas.  Por otro lado, al analizar el nivel de bancarización utilizando el número de cuentas y la población mayor a 15 años, de acuerdo con cifras del último censo, resulta un indicador de 155% para diciembre 2023 y al compararlo el período anterior presenta un aumento de 7%.  Por lo que se puede concluir que las personas económicamente activas cuentan con al menos una cuenta bancaria.</w:t>
      </w:r>
    </w:p>
    <w:p w14:paraId="211A2707" w14:textId="0313FCBB" w:rsidR="008844BD" w:rsidRPr="001C6BA3" w:rsidRDefault="008844BD" w:rsidP="007447E3">
      <w:pPr>
        <w:spacing w:line="360" w:lineRule="auto"/>
        <w:jc w:val="both"/>
        <w:rPr>
          <w:rFonts w:ascii="Arial" w:hAnsi="Arial" w:cs="Arial"/>
          <w:sz w:val="24"/>
          <w:szCs w:val="24"/>
        </w:rPr>
      </w:pPr>
      <w:r w:rsidRPr="001C6BA3">
        <w:rPr>
          <w:rFonts w:ascii="Arial" w:hAnsi="Arial" w:cs="Arial"/>
          <w:sz w:val="24"/>
          <w:szCs w:val="24"/>
        </w:rPr>
        <w:t xml:space="preserve">En la parte internacional, la dinámica de los depósitos externos ha inyectado un vigor renovado a las captaciones del CBI desde finales de 2021, destacando una tendencia hacia la diversificación geográfica. Colombia se ha posicionado como el principal país de origen de estos depósitos, seguido por </w:t>
      </w:r>
      <w:r w:rsidR="00F21D6A" w:rsidRPr="001C6BA3">
        <w:rPr>
          <w:rFonts w:ascii="Arial" w:hAnsi="Arial" w:cs="Arial"/>
          <w:sz w:val="24"/>
          <w:szCs w:val="24"/>
        </w:rPr>
        <w:t xml:space="preserve">Venezuela, </w:t>
      </w:r>
      <w:r w:rsidRPr="001C6BA3">
        <w:rPr>
          <w:rFonts w:ascii="Arial" w:hAnsi="Arial" w:cs="Arial"/>
          <w:sz w:val="24"/>
          <w:szCs w:val="24"/>
        </w:rPr>
        <w:t>Costa Rica, República Dominicana y Estados Unidos. La variación en la distribución geográfica de estos depósitos refleja las diferencias en el desempeño económico y las políticas financieras de cada país, pero, más importante aún, evidencia la confianza depositada por los clientes internacionales en nuestras entidades bancarias.</w:t>
      </w:r>
    </w:p>
    <w:p w14:paraId="301FB575" w14:textId="44F5795E" w:rsidR="008844BD" w:rsidRPr="001C6BA3" w:rsidRDefault="008844BD" w:rsidP="007447E3">
      <w:pPr>
        <w:spacing w:line="360" w:lineRule="auto"/>
        <w:jc w:val="both"/>
        <w:rPr>
          <w:rFonts w:ascii="Arial" w:hAnsi="Arial" w:cs="Arial"/>
          <w:b/>
          <w:bCs/>
          <w:sz w:val="32"/>
          <w:szCs w:val="32"/>
          <w:lang w:val="es-ES"/>
        </w:rPr>
      </w:pPr>
      <w:r w:rsidRPr="001C6BA3">
        <w:rPr>
          <w:rFonts w:ascii="Arial" w:hAnsi="Arial" w:cs="Arial"/>
          <w:b/>
          <w:bCs/>
          <w:sz w:val="32"/>
          <w:szCs w:val="32"/>
          <w:lang w:val="es-ES"/>
        </w:rPr>
        <w:t>Estado de Resultados</w:t>
      </w:r>
    </w:p>
    <w:p w14:paraId="2C6C9670" w14:textId="71E6470B" w:rsidR="008844BD" w:rsidRPr="001C6BA3" w:rsidRDefault="008844BD" w:rsidP="007447E3">
      <w:pPr>
        <w:spacing w:line="360" w:lineRule="auto"/>
        <w:jc w:val="both"/>
        <w:rPr>
          <w:rFonts w:ascii="Arial" w:hAnsi="Arial" w:cs="Arial"/>
          <w:sz w:val="24"/>
          <w:szCs w:val="24"/>
          <w:lang w:val="es-ES"/>
        </w:rPr>
      </w:pPr>
      <w:r w:rsidRPr="001C6BA3">
        <w:rPr>
          <w:rFonts w:ascii="Arial" w:hAnsi="Arial" w:cs="Arial"/>
          <w:sz w:val="24"/>
          <w:szCs w:val="24"/>
          <w:lang w:val="es-ES"/>
        </w:rPr>
        <w:t>Al cierre del 2023, las utilidades acumuladas de los bancos de CBI totalizaron USD 2,709 millones. La cifra representa un alza en los beneficios de 42.6%</w:t>
      </w:r>
      <w:r w:rsidR="00BA17D4" w:rsidRPr="001C6BA3">
        <w:rPr>
          <w:rFonts w:ascii="Arial" w:hAnsi="Arial" w:cs="Arial"/>
          <w:sz w:val="24"/>
          <w:szCs w:val="24"/>
          <w:lang w:val="es-ES"/>
        </w:rPr>
        <w:t xml:space="preserve"> y una eficiencia operativa </w:t>
      </w:r>
      <w:r w:rsidR="00192715" w:rsidRPr="001C6BA3">
        <w:rPr>
          <w:rFonts w:ascii="Arial" w:hAnsi="Arial" w:cs="Arial"/>
          <w:sz w:val="24"/>
          <w:szCs w:val="24"/>
          <w:lang w:val="es-ES"/>
        </w:rPr>
        <w:t>de 49.9%</w:t>
      </w:r>
    </w:p>
    <w:p w14:paraId="5CD41789" w14:textId="77777777" w:rsidR="008844BD" w:rsidRPr="001C6BA3" w:rsidRDefault="008844BD"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Este resultado fue impulsado por la evolución del margen financiero y comisiones, derivada del continuo crecimiento en la cartera de crédito, la gestión en la calidad de los activos, y el control en los gastos, así como una reducción en las provisiones en atención a la estimación preventiva para riesgos crediticios. </w:t>
      </w:r>
    </w:p>
    <w:p w14:paraId="4F97BC3C" w14:textId="2E901883" w:rsidR="008844BD" w:rsidRPr="001C6BA3" w:rsidRDefault="008844BD"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Si bien este desempeño se sustenta en que el nivel de cobertura de provisiones generadas durante la pandemia, en conjunto con algunas disposiciones regulatorias, mostró ser un colchón adecuado en </w:t>
      </w:r>
      <w:r w:rsidR="00701F07" w:rsidRPr="001C6BA3">
        <w:rPr>
          <w:rFonts w:ascii="Arial" w:hAnsi="Arial" w:cs="Arial"/>
          <w:sz w:val="24"/>
          <w:szCs w:val="24"/>
          <w:lang w:val="es-ES"/>
        </w:rPr>
        <w:t xml:space="preserve">esos </w:t>
      </w:r>
      <w:r w:rsidRPr="001C6BA3">
        <w:rPr>
          <w:rFonts w:ascii="Arial" w:hAnsi="Arial" w:cs="Arial"/>
          <w:sz w:val="24"/>
          <w:szCs w:val="24"/>
          <w:lang w:val="es-ES"/>
        </w:rPr>
        <w:t>momentos de estrés, persisten factores de riesgo identificados y monitoreados tanto en el componente local como el externo.</w:t>
      </w:r>
    </w:p>
    <w:p w14:paraId="0B1D1EFE" w14:textId="691CE30C" w:rsidR="008844BD" w:rsidRPr="001C6BA3" w:rsidRDefault="008844BD" w:rsidP="007447E3">
      <w:pPr>
        <w:spacing w:line="360" w:lineRule="auto"/>
        <w:jc w:val="both"/>
        <w:rPr>
          <w:rFonts w:ascii="Arial" w:hAnsi="Arial" w:cs="Arial"/>
          <w:sz w:val="24"/>
          <w:szCs w:val="24"/>
          <w:lang w:val="es-ES"/>
        </w:rPr>
      </w:pPr>
      <w:r w:rsidRPr="001C6BA3">
        <w:rPr>
          <w:rFonts w:ascii="Arial" w:hAnsi="Arial" w:cs="Arial"/>
          <w:sz w:val="24"/>
          <w:szCs w:val="24"/>
          <w:lang w:val="es-ES"/>
        </w:rPr>
        <w:lastRenderedPageBreak/>
        <w:t xml:space="preserve">La rentabilidad también recibió un impulso por la recepción de utilidades provenientes de otras entidades </w:t>
      </w:r>
      <w:r w:rsidR="00EE3975" w:rsidRPr="001C6BA3">
        <w:rPr>
          <w:rFonts w:ascii="Arial" w:hAnsi="Arial" w:cs="Arial"/>
          <w:sz w:val="24"/>
          <w:szCs w:val="24"/>
          <w:lang w:val="es-ES"/>
        </w:rPr>
        <w:t>pertenecientes a</w:t>
      </w:r>
      <w:r w:rsidRPr="001C6BA3">
        <w:rPr>
          <w:rFonts w:ascii="Arial" w:hAnsi="Arial" w:cs="Arial"/>
          <w:sz w:val="24"/>
          <w:szCs w:val="24"/>
          <w:lang w:val="es-ES"/>
        </w:rPr>
        <w:t xml:space="preserve"> grupos bancarios</w:t>
      </w:r>
      <w:r w:rsidR="00701F07" w:rsidRPr="001C6BA3">
        <w:rPr>
          <w:rFonts w:ascii="Arial" w:hAnsi="Arial" w:cs="Arial"/>
          <w:sz w:val="24"/>
          <w:szCs w:val="24"/>
          <w:lang w:val="es-ES"/>
        </w:rPr>
        <w:t>.</w:t>
      </w:r>
    </w:p>
    <w:p w14:paraId="0A1C5309" w14:textId="7B915237" w:rsidR="00E164A8" w:rsidRPr="001C6BA3" w:rsidRDefault="00E164A8" w:rsidP="007447E3">
      <w:pPr>
        <w:spacing w:line="360" w:lineRule="auto"/>
        <w:jc w:val="both"/>
        <w:rPr>
          <w:rFonts w:ascii="Arial" w:hAnsi="Arial" w:cs="Arial"/>
          <w:sz w:val="24"/>
          <w:szCs w:val="24"/>
          <w:lang w:val="es-ES"/>
        </w:rPr>
      </w:pPr>
      <w:r w:rsidRPr="001C6BA3">
        <w:rPr>
          <w:rFonts w:ascii="Arial" w:hAnsi="Arial" w:cs="Arial"/>
          <w:sz w:val="24"/>
          <w:szCs w:val="24"/>
          <w:lang w:val="es-ES"/>
        </w:rPr>
        <w:t>Los ingresos por intereses, propio del giro del negocio bancario de intermediación financiera, es el rubro que más aport</w:t>
      </w:r>
      <w:r w:rsidR="00CB70A3" w:rsidRPr="001C6BA3">
        <w:rPr>
          <w:rFonts w:ascii="Arial" w:hAnsi="Arial" w:cs="Arial"/>
          <w:sz w:val="24"/>
          <w:szCs w:val="24"/>
          <w:lang w:val="es-ES"/>
        </w:rPr>
        <w:t>ó</w:t>
      </w:r>
      <w:r w:rsidRPr="001C6BA3">
        <w:rPr>
          <w:rFonts w:ascii="Arial" w:hAnsi="Arial" w:cs="Arial"/>
          <w:sz w:val="24"/>
          <w:szCs w:val="24"/>
          <w:lang w:val="es-ES"/>
        </w:rPr>
        <w:t xml:space="preserve"> en el crecimiento de los ingresos para </w:t>
      </w:r>
      <w:r w:rsidR="00734A39" w:rsidRPr="001C6BA3">
        <w:rPr>
          <w:rFonts w:ascii="Arial" w:hAnsi="Arial" w:cs="Arial"/>
          <w:sz w:val="24"/>
          <w:szCs w:val="24"/>
          <w:lang w:val="es-ES"/>
        </w:rPr>
        <w:t>el</w:t>
      </w:r>
      <w:r w:rsidRPr="001C6BA3">
        <w:rPr>
          <w:rFonts w:ascii="Arial" w:hAnsi="Arial" w:cs="Arial"/>
          <w:sz w:val="24"/>
          <w:szCs w:val="24"/>
          <w:lang w:val="es-ES"/>
        </w:rPr>
        <w:t xml:space="preserve"> 2023.</w:t>
      </w:r>
      <w:r w:rsidR="00734A39" w:rsidRPr="001C6BA3">
        <w:rPr>
          <w:rFonts w:ascii="Arial" w:hAnsi="Arial" w:cs="Arial"/>
          <w:sz w:val="24"/>
          <w:szCs w:val="24"/>
          <w:lang w:val="es-ES"/>
        </w:rPr>
        <w:t xml:space="preserve">  Seguido de los ingresos por inversiones y depósitos interbancarios.</w:t>
      </w:r>
      <w:r w:rsidRPr="001C6BA3">
        <w:rPr>
          <w:rFonts w:ascii="Arial" w:hAnsi="Arial" w:cs="Arial"/>
          <w:sz w:val="24"/>
          <w:szCs w:val="24"/>
          <w:lang w:val="es-ES"/>
        </w:rPr>
        <w:t xml:space="preserve"> </w:t>
      </w:r>
    </w:p>
    <w:p w14:paraId="7BAA347E" w14:textId="4708B5AC" w:rsidR="00E164A8" w:rsidRPr="001C6BA3" w:rsidRDefault="00E164A8" w:rsidP="007447E3">
      <w:pPr>
        <w:spacing w:line="360" w:lineRule="auto"/>
        <w:jc w:val="both"/>
        <w:rPr>
          <w:rFonts w:ascii="Arial" w:hAnsi="Arial" w:cs="Arial"/>
          <w:sz w:val="24"/>
          <w:szCs w:val="24"/>
          <w:lang w:val="es-ES"/>
        </w:rPr>
      </w:pPr>
      <w:r w:rsidRPr="001C6BA3">
        <w:rPr>
          <w:rFonts w:ascii="Arial" w:hAnsi="Arial" w:cs="Arial"/>
          <w:sz w:val="24"/>
          <w:szCs w:val="24"/>
          <w:lang w:val="es-ES"/>
        </w:rPr>
        <w:t>En este sentido se observa que los ingresos de préstamos a hogares asciende</w:t>
      </w:r>
      <w:r w:rsidR="00E75E89" w:rsidRPr="001C6BA3">
        <w:rPr>
          <w:rFonts w:ascii="Arial" w:hAnsi="Arial" w:cs="Arial"/>
          <w:sz w:val="24"/>
          <w:szCs w:val="24"/>
          <w:lang w:val="es-ES"/>
        </w:rPr>
        <w:t>n</w:t>
      </w:r>
      <w:r w:rsidRPr="001C6BA3">
        <w:rPr>
          <w:rFonts w:ascii="Arial" w:hAnsi="Arial" w:cs="Arial"/>
          <w:sz w:val="24"/>
          <w:szCs w:val="24"/>
          <w:lang w:val="es-ES"/>
        </w:rPr>
        <w:t xml:space="preserve"> a </w:t>
      </w:r>
      <w:r w:rsidR="00FF2B2E" w:rsidRPr="001C6BA3">
        <w:rPr>
          <w:rFonts w:ascii="Arial" w:hAnsi="Arial" w:cs="Arial"/>
          <w:sz w:val="24"/>
          <w:szCs w:val="24"/>
          <w:lang w:val="es-ES"/>
        </w:rPr>
        <w:t xml:space="preserve">USD </w:t>
      </w:r>
      <w:r w:rsidR="00BE3713" w:rsidRPr="001C6BA3">
        <w:rPr>
          <w:rFonts w:ascii="Arial" w:hAnsi="Arial" w:cs="Arial"/>
          <w:sz w:val="24"/>
          <w:szCs w:val="24"/>
          <w:lang w:val="es-ES"/>
        </w:rPr>
        <w:t>2,216 MM</w:t>
      </w:r>
      <w:r w:rsidR="00E75E89" w:rsidRPr="001C6BA3">
        <w:rPr>
          <w:rFonts w:ascii="Arial" w:hAnsi="Arial" w:cs="Arial"/>
          <w:sz w:val="24"/>
          <w:szCs w:val="24"/>
          <w:lang w:val="es-ES"/>
        </w:rPr>
        <w:t xml:space="preserve"> siendo el rubro más importante los préstamos hipotecarios.  E</w:t>
      </w:r>
      <w:r w:rsidRPr="001C6BA3">
        <w:rPr>
          <w:rFonts w:ascii="Arial" w:hAnsi="Arial" w:cs="Arial"/>
          <w:sz w:val="24"/>
          <w:szCs w:val="24"/>
          <w:lang w:val="es-ES"/>
        </w:rPr>
        <w:t xml:space="preserve">n tanto </w:t>
      </w:r>
      <w:r w:rsidR="00146703" w:rsidRPr="001C6BA3">
        <w:rPr>
          <w:rFonts w:ascii="Arial" w:hAnsi="Arial" w:cs="Arial"/>
          <w:sz w:val="24"/>
          <w:szCs w:val="24"/>
          <w:lang w:val="es-ES"/>
        </w:rPr>
        <w:t>que</w:t>
      </w:r>
      <w:r w:rsidR="00630CE1" w:rsidRPr="001C6BA3">
        <w:rPr>
          <w:rFonts w:ascii="Arial" w:hAnsi="Arial" w:cs="Arial"/>
          <w:sz w:val="24"/>
          <w:szCs w:val="24"/>
          <w:lang w:val="es-ES"/>
        </w:rPr>
        <w:t xml:space="preserve"> comercio es la actividad productiva que mayores </w:t>
      </w:r>
      <w:r w:rsidR="00645CB9" w:rsidRPr="001C6BA3">
        <w:rPr>
          <w:rFonts w:ascii="Arial" w:hAnsi="Arial" w:cs="Arial"/>
          <w:sz w:val="24"/>
          <w:szCs w:val="24"/>
          <w:lang w:val="es-ES"/>
        </w:rPr>
        <w:t>ingresos</w:t>
      </w:r>
      <w:r w:rsidR="00630CE1" w:rsidRPr="001C6BA3">
        <w:rPr>
          <w:rFonts w:ascii="Arial" w:hAnsi="Arial" w:cs="Arial"/>
          <w:sz w:val="24"/>
          <w:szCs w:val="24"/>
          <w:lang w:val="es-ES"/>
        </w:rPr>
        <w:t xml:space="preserve"> por intereses genera.  </w:t>
      </w:r>
    </w:p>
    <w:p w14:paraId="048EEE21" w14:textId="2EAF53B6" w:rsidR="00214428" w:rsidRPr="001C6BA3" w:rsidRDefault="00214428" w:rsidP="007447E3">
      <w:pPr>
        <w:spacing w:line="360" w:lineRule="auto"/>
        <w:jc w:val="both"/>
        <w:rPr>
          <w:rFonts w:ascii="Arial" w:hAnsi="Arial" w:cs="Arial"/>
          <w:sz w:val="24"/>
          <w:szCs w:val="24"/>
          <w:lang w:val="es-ES"/>
        </w:rPr>
      </w:pPr>
      <w:r w:rsidRPr="001C6BA3">
        <w:rPr>
          <w:rFonts w:ascii="Arial" w:hAnsi="Arial" w:cs="Arial"/>
          <w:sz w:val="24"/>
          <w:szCs w:val="24"/>
          <w:lang w:val="es-ES"/>
        </w:rPr>
        <w:t>Los bancos de licencia general</w:t>
      </w:r>
      <w:r w:rsidR="00047745" w:rsidRPr="001C6BA3">
        <w:rPr>
          <w:rFonts w:ascii="Arial" w:hAnsi="Arial" w:cs="Arial"/>
          <w:sz w:val="24"/>
          <w:szCs w:val="24"/>
          <w:lang w:val="es-ES"/>
        </w:rPr>
        <w:t xml:space="preserve">, </w:t>
      </w:r>
      <w:r w:rsidR="00722403" w:rsidRPr="001C6BA3">
        <w:rPr>
          <w:rFonts w:ascii="Arial" w:hAnsi="Arial" w:cs="Arial"/>
          <w:sz w:val="24"/>
          <w:szCs w:val="24"/>
          <w:lang w:val="es-ES"/>
        </w:rPr>
        <w:t xml:space="preserve">que incluye la </w:t>
      </w:r>
      <w:r w:rsidR="006A6E2B" w:rsidRPr="001C6BA3">
        <w:rPr>
          <w:rFonts w:ascii="Arial" w:hAnsi="Arial" w:cs="Arial"/>
          <w:sz w:val="24"/>
          <w:szCs w:val="24"/>
          <w:lang w:val="es-ES"/>
        </w:rPr>
        <w:t xml:space="preserve">banca oficial y </w:t>
      </w:r>
      <w:r w:rsidR="00722403" w:rsidRPr="001C6BA3">
        <w:rPr>
          <w:rFonts w:ascii="Arial" w:hAnsi="Arial" w:cs="Arial"/>
          <w:sz w:val="24"/>
          <w:szCs w:val="24"/>
          <w:lang w:val="es-ES"/>
        </w:rPr>
        <w:t xml:space="preserve">banca privada </w:t>
      </w:r>
      <w:r w:rsidR="006A6E2B" w:rsidRPr="001C6BA3">
        <w:rPr>
          <w:rFonts w:ascii="Arial" w:hAnsi="Arial" w:cs="Arial"/>
          <w:sz w:val="24"/>
          <w:szCs w:val="24"/>
          <w:lang w:val="es-ES"/>
        </w:rPr>
        <w:t>tanto pa</w:t>
      </w:r>
      <w:r w:rsidR="003B6D19" w:rsidRPr="001C6BA3">
        <w:rPr>
          <w:rFonts w:ascii="Arial" w:hAnsi="Arial" w:cs="Arial"/>
          <w:sz w:val="24"/>
          <w:szCs w:val="24"/>
          <w:lang w:val="es-ES"/>
        </w:rPr>
        <w:t>na</w:t>
      </w:r>
      <w:r w:rsidR="00722403" w:rsidRPr="001C6BA3">
        <w:rPr>
          <w:rFonts w:ascii="Arial" w:hAnsi="Arial" w:cs="Arial"/>
          <w:sz w:val="24"/>
          <w:szCs w:val="24"/>
          <w:lang w:val="es-ES"/>
        </w:rPr>
        <w:t>meña</w:t>
      </w:r>
      <w:r w:rsidR="003B6D19" w:rsidRPr="001C6BA3">
        <w:rPr>
          <w:rFonts w:ascii="Arial" w:hAnsi="Arial" w:cs="Arial"/>
          <w:sz w:val="24"/>
          <w:szCs w:val="24"/>
          <w:lang w:val="es-ES"/>
        </w:rPr>
        <w:t xml:space="preserve"> como</w:t>
      </w:r>
      <w:r w:rsidR="008D42DE" w:rsidRPr="001C6BA3">
        <w:rPr>
          <w:rFonts w:ascii="Arial" w:hAnsi="Arial" w:cs="Arial"/>
          <w:sz w:val="24"/>
          <w:szCs w:val="24"/>
          <w:lang w:val="es-ES"/>
        </w:rPr>
        <w:t xml:space="preserve"> </w:t>
      </w:r>
      <w:r w:rsidR="00722403" w:rsidRPr="001C6BA3">
        <w:rPr>
          <w:rFonts w:ascii="Arial" w:hAnsi="Arial" w:cs="Arial"/>
          <w:sz w:val="24"/>
          <w:szCs w:val="24"/>
          <w:lang w:val="es-ES"/>
        </w:rPr>
        <w:t>extranjera,</w:t>
      </w:r>
      <w:r w:rsidRPr="001C6BA3">
        <w:rPr>
          <w:rFonts w:ascii="Arial" w:hAnsi="Arial" w:cs="Arial"/>
          <w:sz w:val="24"/>
          <w:szCs w:val="24"/>
          <w:lang w:val="es-ES"/>
        </w:rPr>
        <w:t xml:space="preserve"> aportan el </w:t>
      </w:r>
      <w:r w:rsidR="003C6F5E" w:rsidRPr="001C6BA3">
        <w:rPr>
          <w:rFonts w:ascii="Arial" w:hAnsi="Arial" w:cs="Arial"/>
          <w:sz w:val="24"/>
          <w:szCs w:val="24"/>
          <w:lang w:val="es-ES"/>
        </w:rPr>
        <w:t>81</w:t>
      </w:r>
      <w:r w:rsidRPr="001C6BA3">
        <w:rPr>
          <w:rFonts w:ascii="Arial" w:hAnsi="Arial" w:cs="Arial"/>
          <w:sz w:val="24"/>
          <w:szCs w:val="24"/>
          <w:lang w:val="es-ES"/>
        </w:rPr>
        <w:t xml:space="preserve">% de la utilidad acumulada a diciembre 2023.  Siendo los bancos de mayor tamaño, es decir, de más de </w:t>
      </w:r>
      <w:r w:rsidR="00D472FE" w:rsidRPr="001C6BA3">
        <w:rPr>
          <w:rFonts w:ascii="Arial" w:hAnsi="Arial" w:cs="Arial"/>
          <w:sz w:val="24"/>
          <w:szCs w:val="24"/>
          <w:lang w:val="es-ES"/>
        </w:rPr>
        <w:t xml:space="preserve">USD </w:t>
      </w:r>
      <w:r w:rsidRPr="001C6BA3">
        <w:rPr>
          <w:rFonts w:ascii="Arial" w:hAnsi="Arial" w:cs="Arial"/>
          <w:sz w:val="24"/>
          <w:szCs w:val="24"/>
          <w:lang w:val="es-ES"/>
        </w:rPr>
        <w:t xml:space="preserve">3,000 MM en activos los que registraron </w:t>
      </w:r>
      <w:r w:rsidR="002052F0" w:rsidRPr="001C6BA3">
        <w:rPr>
          <w:rFonts w:ascii="Arial" w:hAnsi="Arial" w:cs="Arial"/>
          <w:sz w:val="24"/>
          <w:szCs w:val="24"/>
          <w:lang w:val="es-ES"/>
        </w:rPr>
        <w:t xml:space="preserve">USD </w:t>
      </w:r>
      <w:r w:rsidRPr="001C6BA3">
        <w:rPr>
          <w:rFonts w:ascii="Arial" w:hAnsi="Arial" w:cs="Arial"/>
          <w:sz w:val="24"/>
          <w:szCs w:val="24"/>
          <w:lang w:val="es-ES"/>
        </w:rPr>
        <w:t xml:space="preserve">2,305 MM en utilidades.  Lo que representa el 85% del total de </w:t>
      </w:r>
      <w:r w:rsidR="00D472FE" w:rsidRPr="001C6BA3">
        <w:rPr>
          <w:rFonts w:ascii="Arial" w:hAnsi="Arial" w:cs="Arial"/>
          <w:sz w:val="24"/>
          <w:szCs w:val="24"/>
          <w:lang w:val="es-ES"/>
        </w:rPr>
        <w:t>estas</w:t>
      </w:r>
      <w:r w:rsidRPr="001C6BA3">
        <w:rPr>
          <w:rFonts w:ascii="Arial" w:hAnsi="Arial" w:cs="Arial"/>
          <w:sz w:val="24"/>
          <w:szCs w:val="24"/>
          <w:lang w:val="es-ES"/>
        </w:rPr>
        <w:t xml:space="preserve">.  La banca oficial, que forma parte del grupo de entidades con activos mayores a </w:t>
      </w:r>
      <w:r w:rsidR="00D472FE" w:rsidRPr="001C6BA3">
        <w:rPr>
          <w:rFonts w:ascii="Arial" w:hAnsi="Arial" w:cs="Arial"/>
          <w:sz w:val="24"/>
          <w:szCs w:val="24"/>
          <w:lang w:val="es-ES"/>
        </w:rPr>
        <w:t xml:space="preserve">USD </w:t>
      </w:r>
      <w:r w:rsidRPr="001C6BA3">
        <w:rPr>
          <w:rFonts w:ascii="Arial" w:hAnsi="Arial" w:cs="Arial"/>
          <w:sz w:val="24"/>
          <w:szCs w:val="24"/>
          <w:lang w:val="es-ES"/>
        </w:rPr>
        <w:t xml:space="preserve">3,000 MM generó utilidades por </w:t>
      </w:r>
      <w:r w:rsidR="002052F0" w:rsidRPr="001C6BA3">
        <w:rPr>
          <w:rFonts w:ascii="Arial" w:hAnsi="Arial" w:cs="Arial"/>
          <w:sz w:val="24"/>
          <w:szCs w:val="24"/>
          <w:lang w:val="es-ES"/>
        </w:rPr>
        <w:t xml:space="preserve">USD </w:t>
      </w:r>
      <w:r w:rsidRPr="001C6BA3">
        <w:rPr>
          <w:rFonts w:ascii="Arial" w:hAnsi="Arial" w:cs="Arial"/>
          <w:sz w:val="24"/>
          <w:szCs w:val="24"/>
          <w:lang w:val="es-ES"/>
        </w:rPr>
        <w:t>325 MM.</w:t>
      </w:r>
    </w:p>
    <w:p w14:paraId="0BDAA91E" w14:textId="183DF207" w:rsidR="005B4519" w:rsidRPr="001C6BA3" w:rsidRDefault="00B61011" w:rsidP="007447E3">
      <w:pPr>
        <w:spacing w:line="360" w:lineRule="auto"/>
        <w:jc w:val="both"/>
        <w:rPr>
          <w:rFonts w:ascii="Arial" w:hAnsi="Arial" w:cs="Arial"/>
          <w:b/>
          <w:bCs/>
          <w:sz w:val="32"/>
          <w:szCs w:val="32"/>
          <w:lang w:val="es-ES"/>
        </w:rPr>
      </w:pPr>
      <w:r w:rsidRPr="001C6BA3">
        <w:rPr>
          <w:rFonts w:ascii="Arial" w:hAnsi="Arial" w:cs="Arial"/>
          <w:b/>
          <w:bCs/>
          <w:sz w:val="32"/>
          <w:szCs w:val="32"/>
          <w:lang w:val="es-ES"/>
        </w:rPr>
        <w:t>Solvencia</w:t>
      </w:r>
    </w:p>
    <w:p w14:paraId="5933410E" w14:textId="072BA51E" w:rsidR="00B61011" w:rsidRPr="001C6BA3" w:rsidRDefault="00B61011" w:rsidP="007447E3">
      <w:pPr>
        <w:spacing w:line="360" w:lineRule="auto"/>
        <w:jc w:val="both"/>
        <w:rPr>
          <w:rFonts w:ascii="Arial" w:hAnsi="Arial" w:cs="Arial"/>
          <w:sz w:val="24"/>
          <w:szCs w:val="24"/>
          <w:lang w:val="es-ES"/>
        </w:rPr>
      </w:pPr>
      <w:r w:rsidRPr="001C6BA3">
        <w:rPr>
          <w:rFonts w:ascii="Arial" w:hAnsi="Arial" w:cs="Arial"/>
          <w:sz w:val="24"/>
          <w:szCs w:val="24"/>
          <w:lang w:val="es-ES"/>
        </w:rPr>
        <w:t>A dic.23 el índice de adecuación de capital asciende a 15.</w:t>
      </w:r>
      <w:r w:rsidR="006114B4" w:rsidRPr="001C6BA3">
        <w:rPr>
          <w:rFonts w:ascii="Arial" w:hAnsi="Arial" w:cs="Arial"/>
          <w:sz w:val="24"/>
          <w:szCs w:val="24"/>
          <w:lang w:val="es-ES"/>
        </w:rPr>
        <w:t>1</w:t>
      </w:r>
      <w:r w:rsidRPr="001C6BA3">
        <w:rPr>
          <w:rFonts w:ascii="Arial" w:hAnsi="Arial" w:cs="Arial"/>
          <w:sz w:val="24"/>
          <w:szCs w:val="24"/>
          <w:lang w:val="es-ES"/>
        </w:rPr>
        <w:t>%</w:t>
      </w:r>
      <w:r w:rsidR="00034B26" w:rsidRPr="001C6BA3">
        <w:rPr>
          <w:rFonts w:ascii="Arial" w:hAnsi="Arial" w:cs="Arial"/>
          <w:sz w:val="24"/>
          <w:szCs w:val="24"/>
          <w:lang w:val="es-ES"/>
        </w:rPr>
        <w:t xml:space="preserve">, que incluye </w:t>
      </w:r>
      <w:r w:rsidR="00117BCC" w:rsidRPr="001C6BA3">
        <w:rPr>
          <w:rFonts w:ascii="Arial" w:hAnsi="Arial" w:cs="Arial"/>
          <w:sz w:val="24"/>
          <w:szCs w:val="24"/>
          <w:lang w:val="es-ES"/>
        </w:rPr>
        <w:t xml:space="preserve">el colchón anticíclico, denominado </w:t>
      </w:r>
      <w:r w:rsidR="00034B26" w:rsidRPr="001C6BA3">
        <w:rPr>
          <w:rFonts w:ascii="Arial" w:hAnsi="Arial" w:cs="Arial"/>
          <w:sz w:val="24"/>
          <w:szCs w:val="24"/>
          <w:lang w:val="es-ES"/>
        </w:rPr>
        <w:t>provisión dinámica</w:t>
      </w:r>
      <w:r w:rsidRPr="001C6BA3">
        <w:rPr>
          <w:rFonts w:ascii="Arial" w:hAnsi="Arial" w:cs="Arial"/>
          <w:sz w:val="24"/>
          <w:szCs w:val="24"/>
          <w:lang w:val="es-ES"/>
        </w:rPr>
        <w:t xml:space="preserve">.  Este indicador de </w:t>
      </w:r>
      <w:r w:rsidR="00AA548E" w:rsidRPr="001C6BA3">
        <w:rPr>
          <w:rFonts w:ascii="Arial" w:hAnsi="Arial" w:cs="Arial"/>
          <w:sz w:val="24"/>
          <w:szCs w:val="24"/>
          <w:lang w:val="es-ES"/>
        </w:rPr>
        <w:t>solvencia</w:t>
      </w:r>
      <w:r w:rsidRPr="001C6BA3">
        <w:rPr>
          <w:rFonts w:ascii="Arial" w:hAnsi="Arial" w:cs="Arial"/>
          <w:sz w:val="24"/>
          <w:szCs w:val="24"/>
          <w:lang w:val="es-ES"/>
        </w:rPr>
        <w:t xml:space="preserve"> históricamente ha estado respaldado por un capital robusto.  Al cierre de 2023 el 79% del capital regulatorio correspond</w:t>
      </w:r>
      <w:r w:rsidR="00EC6A57" w:rsidRPr="001C6BA3">
        <w:rPr>
          <w:rFonts w:ascii="Arial" w:hAnsi="Arial" w:cs="Arial"/>
          <w:sz w:val="24"/>
          <w:szCs w:val="24"/>
          <w:lang w:val="es-ES"/>
        </w:rPr>
        <w:t>ía</w:t>
      </w:r>
      <w:r w:rsidRPr="001C6BA3">
        <w:rPr>
          <w:rFonts w:ascii="Arial" w:hAnsi="Arial" w:cs="Arial"/>
          <w:sz w:val="24"/>
          <w:szCs w:val="24"/>
          <w:lang w:val="es-ES"/>
        </w:rPr>
        <w:t xml:space="preserve"> a capital primario; que incluye principalmente acciones comunes y utilidades retenidas.  </w:t>
      </w:r>
    </w:p>
    <w:p w14:paraId="1E5396AC" w14:textId="21A5E20A" w:rsidR="00B61011" w:rsidRPr="001C6BA3" w:rsidRDefault="00B61011"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Dando seguimiento a nuestra hoja de ruta regulatoria hacia Basilea III, a partir de julio de este año inicia el plazo de adecuación para la constitución del colchón de conservación de capital.  </w:t>
      </w:r>
      <w:r w:rsidR="00CA017B" w:rsidRPr="001C6BA3">
        <w:rPr>
          <w:rFonts w:ascii="Arial" w:hAnsi="Arial" w:cs="Arial"/>
          <w:sz w:val="24"/>
          <w:szCs w:val="24"/>
          <w:lang w:val="es-ES"/>
        </w:rPr>
        <w:t xml:space="preserve">Este colchón estará plenamente </w:t>
      </w:r>
      <w:r w:rsidR="004661F3" w:rsidRPr="001C6BA3">
        <w:rPr>
          <w:rFonts w:ascii="Arial" w:hAnsi="Arial" w:cs="Arial"/>
          <w:sz w:val="24"/>
          <w:szCs w:val="24"/>
          <w:lang w:val="es-ES"/>
        </w:rPr>
        <w:t>implementado a</w:t>
      </w:r>
      <w:r w:rsidRPr="001C6BA3">
        <w:rPr>
          <w:rFonts w:ascii="Arial" w:hAnsi="Arial" w:cs="Arial"/>
          <w:sz w:val="24"/>
          <w:szCs w:val="24"/>
          <w:lang w:val="es-ES"/>
        </w:rPr>
        <w:t xml:space="preserve"> partir de julio 2026</w:t>
      </w:r>
      <w:r w:rsidR="004661F3" w:rsidRPr="001C6BA3">
        <w:rPr>
          <w:rFonts w:ascii="Arial" w:hAnsi="Arial" w:cs="Arial"/>
          <w:sz w:val="24"/>
          <w:szCs w:val="24"/>
          <w:lang w:val="es-ES"/>
        </w:rPr>
        <w:t>.</w:t>
      </w:r>
    </w:p>
    <w:p w14:paraId="07C7FD22" w14:textId="74A94AA8" w:rsidR="00B61011" w:rsidRPr="001C6BA3" w:rsidRDefault="00B61011"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Es importante recalcar que los bancos cuentan con el capital regulatorio suficiente para cumplir con la constitución del colchón de conservación.  Y </w:t>
      </w:r>
      <w:r w:rsidR="001251BD" w:rsidRPr="001C6BA3">
        <w:rPr>
          <w:rFonts w:ascii="Arial" w:hAnsi="Arial" w:cs="Arial"/>
          <w:sz w:val="24"/>
          <w:szCs w:val="24"/>
          <w:lang w:val="es-ES"/>
        </w:rPr>
        <w:t>de acuerdo con</w:t>
      </w:r>
      <w:r w:rsidRPr="001C6BA3">
        <w:rPr>
          <w:rFonts w:ascii="Arial" w:hAnsi="Arial" w:cs="Arial"/>
          <w:sz w:val="24"/>
          <w:szCs w:val="24"/>
          <w:lang w:val="es-ES"/>
        </w:rPr>
        <w:t xml:space="preserve"> nuestros análisis los bancos sistémicos podr</w:t>
      </w:r>
      <w:r w:rsidR="00A24A44" w:rsidRPr="001C6BA3">
        <w:rPr>
          <w:rFonts w:ascii="Arial" w:hAnsi="Arial" w:cs="Arial"/>
          <w:sz w:val="24"/>
          <w:szCs w:val="24"/>
          <w:lang w:val="es-ES"/>
        </w:rPr>
        <w:t>án</w:t>
      </w:r>
      <w:r w:rsidRPr="001C6BA3">
        <w:rPr>
          <w:rFonts w:ascii="Arial" w:hAnsi="Arial" w:cs="Arial"/>
          <w:sz w:val="24"/>
          <w:szCs w:val="24"/>
          <w:lang w:val="es-ES"/>
        </w:rPr>
        <w:t xml:space="preserve"> también cumplir con un</w:t>
      </w:r>
      <w:r w:rsidR="00A24A44" w:rsidRPr="001C6BA3">
        <w:rPr>
          <w:rFonts w:ascii="Arial" w:hAnsi="Arial" w:cs="Arial"/>
          <w:sz w:val="24"/>
          <w:szCs w:val="24"/>
          <w:lang w:val="es-ES"/>
        </w:rPr>
        <w:t xml:space="preserve"> eventual</w:t>
      </w:r>
      <w:r w:rsidRPr="001C6BA3">
        <w:rPr>
          <w:rFonts w:ascii="Arial" w:hAnsi="Arial" w:cs="Arial"/>
          <w:sz w:val="24"/>
          <w:szCs w:val="24"/>
          <w:lang w:val="es-ES"/>
        </w:rPr>
        <w:t xml:space="preserve"> </w:t>
      </w:r>
      <w:r w:rsidRPr="001C6BA3">
        <w:rPr>
          <w:rFonts w:ascii="Arial" w:hAnsi="Arial" w:cs="Arial"/>
          <w:sz w:val="24"/>
          <w:szCs w:val="24"/>
          <w:lang w:val="es-ES"/>
        </w:rPr>
        <w:lastRenderedPageBreak/>
        <w:t>colchón sistémico</w:t>
      </w:r>
      <w:r w:rsidR="00A24A44" w:rsidRPr="001C6BA3">
        <w:rPr>
          <w:rFonts w:ascii="Arial" w:hAnsi="Arial" w:cs="Arial"/>
          <w:sz w:val="24"/>
          <w:szCs w:val="24"/>
          <w:lang w:val="es-ES"/>
        </w:rPr>
        <w:t xml:space="preserve"> por discutirse</w:t>
      </w:r>
      <w:r w:rsidRPr="001C6BA3">
        <w:rPr>
          <w:rFonts w:ascii="Arial" w:hAnsi="Arial" w:cs="Arial"/>
          <w:sz w:val="24"/>
          <w:szCs w:val="24"/>
          <w:lang w:val="es-ES"/>
        </w:rPr>
        <w:t>, el cual estaría calibrado en función de la realidad de nuestro Sistema Bancario.</w:t>
      </w:r>
    </w:p>
    <w:p w14:paraId="3734A41B" w14:textId="1B7AB915" w:rsidR="00B61011" w:rsidRPr="001C6BA3" w:rsidRDefault="00317381" w:rsidP="007447E3">
      <w:pPr>
        <w:spacing w:line="360" w:lineRule="auto"/>
        <w:jc w:val="both"/>
        <w:rPr>
          <w:rFonts w:ascii="Arial" w:hAnsi="Arial" w:cs="Arial"/>
          <w:b/>
          <w:bCs/>
          <w:sz w:val="32"/>
          <w:szCs w:val="32"/>
          <w:lang w:val="es-ES"/>
        </w:rPr>
      </w:pPr>
      <w:r w:rsidRPr="001C6BA3">
        <w:rPr>
          <w:rFonts w:ascii="Arial" w:hAnsi="Arial" w:cs="Arial"/>
          <w:b/>
          <w:bCs/>
          <w:sz w:val="32"/>
          <w:szCs w:val="32"/>
          <w:lang w:val="es-ES"/>
        </w:rPr>
        <w:t xml:space="preserve">Prueba de </w:t>
      </w:r>
      <w:r w:rsidR="00914A8B" w:rsidRPr="001C6BA3">
        <w:rPr>
          <w:rFonts w:ascii="Arial" w:hAnsi="Arial" w:cs="Arial"/>
          <w:b/>
          <w:bCs/>
          <w:sz w:val="32"/>
          <w:szCs w:val="32"/>
          <w:lang w:val="es-ES"/>
        </w:rPr>
        <w:t>estrés</w:t>
      </w:r>
      <w:r w:rsidR="00B61011" w:rsidRPr="001C6BA3">
        <w:rPr>
          <w:rFonts w:ascii="Arial" w:hAnsi="Arial" w:cs="Arial"/>
          <w:b/>
          <w:bCs/>
          <w:sz w:val="32"/>
          <w:szCs w:val="32"/>
          <w:lang w:val="es-ES"/>
        </w:rPr>
        <w:t xml:space="preserve"> de Crédito</w:t>
      </w:r>
    </w:p>
    <w:p w14:paraId="4B4F6904" w14:textId="575B759D" w:rsidR="00B61011" w:rsidRPr="001C6BA3" w:rsidRDefault="00B61011" w:rsidP="007447E3">
      <w:pPr>
        <w:spacing w:line="360" w:lineRule="auto"/>
        <w:jc w:val="both"/>
        <w:rPr>
          <w:rFonts w:ascii="Arial" w:hAnsi="Arial" w:cs="Arial"/>
          <w:sz w:val="24"/>
          <w:szCs w:val="24"/>
          <w:lang w:val="es-ES"/>
        </w:rPr>
      </w:pPr>
      <w:r w:rsidRPr="001C6BA3">
        <w:rPr>
          <w:rFonts w:ascii="Arial" w:hAnsi="Arial" w:cs="Arial"/>
          <w:sz w:val="24"/>
          <w:szCs w:val="24"/>
          <w:lang w:val="es-ES"/>
        </w:rPr>
        <w:t>La SBP realiza periódicamente ejercicios de estrés de crédito, para evaluar la resiliencia de los bancos antes choques macroeconómicos tanto internos como externos.  Para ello se mide el impacto en la adecuación de capital del banco, es decir, en su solvencia.   Los escenarios supuestos son estresados y no representan una proyección.  Sin embargo, son muy útiles para identificar vulnerabilidades estructurales y exposiciones de riesgo globales en el sistema bancario.</w:t>
      </w:r>
    </w:p>
    <w:p w14:paraId="407CAC86" w14:textId="70365AA2" w:rsidR="00B61011" w:rsidRPr="001C6BA3" w:rsidRDefault="00B61011"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En el escenario propuesto de un crecimiento negativo del PIB de -2%, el modelo de provisiones de la SBP arroja un incremento de </w:t>
      </w:r>
      <w:r w:rsidR="0005422B" w:rsidRPr="001C6BA3">
        <w:rPr>
          <w:rFonts w:ascii="Arial" w:hAnsi="Arial" w:cs="Arial"/>
          <w:sz w:val="24"/>
          <w:szCs w:val="24"/>
          <w:lang w:val="es-ES"/>
        </w:rPr>
        <w:t xml:space="preserve">USD </w:t>
      </w:r>
      <w:r w:rsidRPr="001C6BA3">
        <w:rPr>
          <w:rFonts w:ascii="Arial" w:hAnsi="Arial" w:cs="Arial"/>
          <w:sz w:val="24"/>
          <w:szCs w:val="24"/>
          <w:lang w:val="es-ES"/>
        </w:rPr>
        <w:t>600MM, impacto que podría ser absorbido por todos los bancos de la plaza.  Estos ejercicios se realizan con un nivel de desagregación individual por banco, lo cual permite analizar la estabilidad del sistema no solo de los bancos más grandes, sino también de los medianos y pequeños.</w:t>
      </w:r>
    </w:p>
    <w:p w14:paraId="09F36401" w14:textId="211A4812" w:rsidR="00B61011" w:rsidRPr="001C6BA3" w:rsidRDefault="00B61011"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Con respecto a </w:t>
      </w:r>
      <w:r w:rsidR="00AA548E" w:rsidRPr="001C6BA3">
        <w:rPr>
          <w:rFonts w:ascii="Arial" w:hAnsi="Arial" w:cs="Arial"/>
          <w:sz w:val="24"/>
          <w:szCs w:val="24"/>
          <w:lang w:val="es-ES"/>
        </w:rPr>
        <w:t>los ratios</w:t>
      </w:r>
      <w:r w:rsidRPr="001C6BA3">
        <w:rPr>
          <w:rFonts w:ascii="Arial" w:hAnsi="Arial" w:cs="Arial"/>
          <w:sz w:val="24"/>
          <w:szCs w:val="24"/>
          <w:lang w:val="es-ES"/>
        </w:rPr>
        <w:t xml:space="preserve"> de Provisión sobre </w:t>
      </w:r>
      <w:r w:rsidR="00535054" w:rsidRPr="001C6BA3">
        <w:rPr>
          <w:rFonts w:ascii="Arial" w:hAnsi="Arial" w:cs="Arial"/>
          <w:sz w:val="24"/>
          <w:szCs w:val="24"/>
          <w:lang w:val="es-ES"/>
        </w:rPr>
        <w:t>C</w:t>
      </w:r>
      <w:r w:rsidRPr="001C6BA3">
        <w:rPr>
          <w:rFonts w:ascii="Arial" w:hAnsi="Arial" w:cs="Arial"/>
          <w:sz w:val="24"/>
          <w:szCs w:val="24"/>
          <w:lang w:val="es-ES"/>
        </w:rPr>
        <w:t xml:space="preserve">artera y Provisión sobre Patrimonio, el ejercicio arroja niveles superiores a los de diciembre 2023, sin embargo, similares a los presentados al cierre de 2021.  </w:t>
      </w:r>
    </w:p>
    <w:p w14:paraId="05237DB0" w14:textId="4E1B197E" w:rsidR="00F53FF4" w:rsidRPr="001C6BA3" w:rsidRDefault="00E60937" w:rsidP="007447E3">
      <w:pPr>
        <w:spacing w:line="360" w:lineRule="auto"/>
        <w:jc w:val="both"/>
        <w:rPr>
          <w:rFonts w:ascii="Arial" w:hAnsi="Arial" w:cs="Arial"/>
          <w:b/>
          <w:bCs/>
          <w:sz w:val="32"/>
          <w:szCs w:val="32"/>
          <w:lang w:val="es-ES"/>
        </w:rPr>
      </w:pPr>
      <w:r w:rsidRPr="001C6BA3">
        <w:rPr>
          <w:rFonts w:ascii="Arial" w:hAnsi="Arial" w:cs="Arial"/>
          <w:b/>
          <w:bCs/>
          <w:sz w:val="32"/>
          <w:szCs w:val="32"/>
          <w:lang w:val="es-ES"/>
        </w:rPr>
        <w:t xml:space="preserve">Pruebas de </w:t>
      </w:r>
      <w:r w:rsidR="0072248F" w:rsidRPr="001C6BA3">
        <w:rPr>
          <w:rFonts w:ascii="Arial" w:hAnsi="Arial" w:cs="Arial"/>
          <w:b/>
          <w:bCs/>
          <w:sz w:val="32"/>
          <w:szCs w:val="32"/>
          <w:lang w:val="es-ES"/>
        </w:rPr>
        <w:t>s</w:t>
      </w:r>
      <w:r w:rsidRPr="001C6BA3">
        <w:rPr>
          <w:rFonts w:ascii="Arial" w:hAnsi="Arial" w:cs="Arial"/>
          <w:b/>
          <w:bCs/>
          <w:sz w:val="32"/>
          <w:szCs w:val="32"/>
          <w:lang w:val="es-ES"/>
        </w:rPr>
        <w:t xml:space="preserve">ensibilidad de Riesgo Mercado </w:t>
      </w:r>
    </w:p>
    <w:p w14:paraId="747D2DA6" w14:textId="022CCE96" w:rsidR="00F53FF4" w:rsidRPr="001C6BA3" w:rsidRDefault="00F53FF4"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Con relación a los títulos valores adquiridos por los bancos, la cartera </w:t>
      </w:r>
      <w:r w:rsidR="00A64C05" w:rsidRPr="001C6BA3">
        <w:rPr>
          <w:rFonts w:ascii="Arial" w:hAnsi="Arial" w:cs="Arial"/>
          <w:sz w:val="24"/>
          <w:szCs w:val="24"/>
          <w:lang w:val="es-ES"/>
        </w:rPr>
        <w:t xml:space="preserve">de inversiones </w:t>
      </w:r>
      <w:r w:rsidRPr="001C6BA3">
        <w:rPr>
          <w:rFonts w:ascii="Arial" w:hAnsi="Arial" w:cs="Arial"/>
          <w:sz w:val="24"/>
          <w:szCs w:val="24"/>
          <w:lang w:val="es-ES"/>
        </w:rPr>
        <w:t>se encuentra mayormente distribuida en las categorías de costo amortizado y valor razonable con cambio en patrimonio, esto luego de la migración registrada durante el año 2022.  Las pérdidas no realizadas acumuladas de estos títulos han disminuido durante el 2023.</w:t>
      </w:r>
    </w:p>
    <w:p w14:paraId="06FAEC23" w14:textId="774D1367" w:rsidR="00F53FF4" w:rsidRPr="00F1201E" w:rsidRDefault="00F53FF4" w:rsidP="007447E3">
      <w:pPr>
        <w:spacing w:line="360" w:lineRule="auto"/>
        <w:jc w:val="both"/>
        <w:rPr>
          <w:rFonts w:ascii="Arial" w:hAnsi="Arial" w:cs="Arial"/>
          <w:lang w:val="es-ES"/>
        </w:rPr>
      </w:pPr>
      <w:r w:rsidRPr="001C6BA3">
        <w:rPr>
          <w:rFonts w:ascii="Arial" w:hAnsi="Arial" w:cs="Arial"/>
          <w:sz w:val="24"/>
          <w:szCs w:val="24"/>
          <w:lang w:val="es-ES"/>
        </w:rPr>
        <w:t xml:space="preserve">Las duraciones promedio de los títulos gubernamentales registrados a valor razonable con cambio en </w:t>
      </w:r>
      <w:r w:rsidR="00882313" w:rsidRPr="001C6BA3">
        <w:rPr>
          <w:rFonts w:ascii="Arial" w:hAnsi="Arial" w:cs="Arial"/>
          <w:sz w:val="24"/>
          <w:szCs w:val="24"/>
          <w:lang w:val="es-ES"/>
        </w:rPr>
        <w:t>patrimonio</w:t>
      </w:r>
      <w:r w:rsidRPr="001C6BA3">
        <w:rPr>
          <w:rFonts w:ascii="Arial" w:hAnsi="Arial" w:cs="Arial"/>
          <w:sz w:val="24"/>
          <w:szCs w:val="24"/>
          <w:lang w:val="es-ES"/>
        </w:rPr>
        <w:t xml:space="preserve"> son similares a </w:t>
      </w:r>
      <w:r w:rsidR="00882313" w:rsidRPr="001C6BA3">
        <w:rPr>
          <w:rFonts w:ascii="Arial" w:hAnsi="Arial" w:cs="Arial"/>
          <w:sz w:val="24"/>
          <w:szCs w:val="24"/>
          <w:lang w:val="es-ES"/>
        </w:rPr>
        <w:t xml:space="preserve">la de </w:t>
      </w:r>
      <w:r w:rsidRPr="001C6BA3">
        <w:rPr>
          <w:rFonts w:ascii="Arial" w:hAnsi="Arial" w:cs="Arial"/>
          <w:sz w:val="24"/>
          <w:szCs w:val="24"/>
          <w:lang w:val="es-ES"/>
        </w:rPr>
        <w:t>los título</w:t>
      </w:r>
      <w:r w:rsidR="00D940F7" w:rsidRPr="001C6BA3">
        <w:rPr>
          <w:rFonts w:ascii="Arial" w:hAnsi="Arial" w:cs="Arial"/>
          <w:sz w:val="24"/>
          <w:szCs w:val="24"/>
          <w:lang w:val="es-ES"/>
        </w:rPr>
        <w:t>s</w:t>
      </w:r>
      <w:r w:rsidRPr="001C6BA3">
        <w:rPr>
          <w:rFonts w:ascii="Arial" w:hAnsi="Arial" w:cs="Arial"/>
          <w:sz w:val="24"/>
          <w:szCs w:val="24"/>
          <w:lang w:val="es-ES"/>
        </w:rPr>
        <w:t xml:space="preserve"> corporativos.  Y los saldos están distribuidos en porcentajes similares entre ambos sectores.  Estos </w:t>
      </w:r>
      <w:r w:rsidRPr="001C6BA3">
        <w:rPr>
          <w:rFonts w:ascii="Arial" w:hAnsi="Arial" w:cs="Arial"/>
          <w:sz w:val="24"/>
          <w:szCs w:val="24"/>
          <w:lang w:val="es-ES"/>
        </w:rPr>
        <w:lastRenderedPageBreak/>
        <w:t>dos factores influyen en los resultados de</w:t>
      </w:r>
      <w:r w:rsidR="000730EE" w:rsidRPr="001C6BA3">
        <w:rPr>
          <w:rFonts w:ascii="Arial" w:hAnsi="Arial" w:cs="Arial"/>
          <w:sz w:val="24"/>
          <w:szCs w:val="24"/>
          <w:lang w:val="es-ES"/>
        </w:rPr>
        <w:t xml:space="preserve">l </w:t>
      </w:r>
      <w:r w:rsidRPr="001C6BA3">
        <w:rPr>
          <w:rFonts w:ascii="Arial" w:hAnsi="Arial" w:cs="Arial"/>
          <w:sz w:val="24"/>
          <w:szCs w:val="24"/>
          <w:lang w:val="es-ES"/>
        </w:rPr>
        <w:t>ejercicio de sensibilidad de movimiento</w:t>
      </w:r>
      <w:r w:rsidR="00D940F7" w:rsidRPr="001C6BA3">
        <w:rPr>
          <w:rFonts w:ascii="Arial" w:hAnsi="Arial" w:cs="Arial"/>
          <w:sz w:val="24"/>
          <w:szCs w:val="24"/>
          <w:lang w:val="es-ES"/>
        </w:rPr>
        <w:t xml:space="preserve"> al alza</w:t>
      </w:r>
      <w:r w:rsidRPr="001C6BA3">
        <w:rPr>
          <w:rFonts w:ascii="Arial" w:hAnsi="Arial" w:cs="Arial"/>
          <w:sz w:val="24"/>
          <w:szCs w:val="24"/>
          <w:lang w:val="es-ES"/>
        </w:rPr>
        <w:t xml:space="preserve"> de tasas en 250 </w:t>
      </w:r>
      <w:r w:rsidR="00D940F7" w:rsidRPr="001C6BA3">
        <w:rPr>
          <w:rFonts w:ascii="Arial" w:hAnsi="Arial" w:cs="Arial"/>
          <w:sz w:val="24"/>
          <w:szCs w:val="24"/>
          <w:lang w:val="es-ES"/>
        </w:rPr>
        <w:t>puntos</w:t>
      </w:r>
      <w:r w:rsidR="00D940F7" w:rsidRPr="00F1201E">
        <w:rPr>
          <w:rFonts w:ascii="Arial" w:hAnsi="Arial" w:cs="Arial"/>
          <w:lang w:val="es-ES"/>
        </w:rPr>
        <w:t xml:space="preserve"> </w:t>
      </w:r>
      <w:r w:rsidR="00D940F7" w:rsidRPr="001C6BA3">
        <w:rPr>
          <w:rFonts w:ascii="Arial" w:hAnsi="Arial" w:cs="Arial"/>
          <w:sz w:val="24"/>
          <w:szCs w:val="24"/>
          <w:lang w:val="es-ES"/>
        </w:rPr>
        <w:t>base</w:t>
      </w:r>
      <w:r w:rsidRPr="001C6BA3">
        <w:rPr>
          <w:rFonts w:ascii="Arial" w:hAnsi="Arial" w:cs="Arial"/>
          <w:sz w:val="24"/>
          <w:szCs w:val="24"/>
          <w:lang w:val="es-ES"/>
        </w:rPr>
        <w:t xml:space="preserve">, </w:t>
      </w:r>
      <w:r w:rsidR="00B41EDF" w:rsidRPr="001C6BA3">
        <w:rPr>
          <w:rFonts w:ascii="Arial" w:hAnsi="Arial" w:cs="Arial"/>
          <w:sz w:val="24"/>
          <w:szCs w:val="24"/>
          <w:lang w:val="es-ES"/>
        </w:rPr>
        <w:t xml:space="preserve">ejercicio que </w:t>
      </w:r>
      <w:r w:rsidRPr="001C6BA3">
        <w:rPr>
          <w:rFonts w:ascii="Arial" w:hAnsi="Arial" w:cs="Arial"/>
          <w:sz w:val="24"/>
          <w:szCs w:val="24"/>
          <w:lang w:val="es-ES"/>
        </w:rPr>
        <w:t>refleja pérdidas no realizadas por montos similares tanto en los títulos gubernamentales como corporativos</w:t>
      </w:r>
      <w:r w:rsidRPr="00F1201E">
        <w:rPr>
          <w:rFonts w:ascii="Arial" w:hAnsi="Arial" w:cs="Arial"/>
          <w:lang w:val="es-ES"/>
        </w:rPr>
        <w:t xml:space="preserve">.   </w:t>
      </w:r>
    </w:p>
    <w:p w14:paraId="70E732A7" w14:textId="00ADDFD4" w:rsidR="00814510" w:rsidRPr="001C6BA3" w:rsidRDefault="00A24A44" w:rsidP="007447E3">
      <w:pPr>
        <w:spacing w:line="360" w:lineRule="auto"/>
        <w:jc w:val="both"/>
        <w:rPr>
          <w:rFonts w:ascii="Arial" w:hAnsi="Arial" w:cs="Arial"/>
          <w:b/>
          <w:bCs/>
          <w:sz w:val="32"/>
          <w:szCs w:val="32"/>
          <w:lang w:val="es-ES"/>
        </w:rPr>
      </w:pPr>
      <w:r w:rsidRPr="001C6BA3">
        <w:rPr>
          <w:rFonts w:ascii="Arial" w:hAnsi="Arial" w:cs="Arial"/>
          <w:b/>
          <w:bCs/>
          <w:sz w:val="32"/>
          <w:szCs w:val="32"/>
          <w:lang w:val="es-ES"/>
        </w:rPr>
        <w:t>Banca digital</w:t>
      </w:r>
    </w:p>
    <w:p w14:paraId="634B8D32" w14:textId="1C73AF71" w:rsidR="00A538B9" w:rsidRPr="001C6BA3" w:rsidRDefault="00A538B9" w:rsidP="007447E3">
      <w:pPr>
        <w:spacing w:line="360" w:lineRule="auto"/>
        <w:jc w:val="both"/>
        <w:rPr>
          <w:rFonts w:ascii="Arial" w:hAnsi="Arial" w:cs="Arial"/>
          <w:sz w:val="24"/>
          <w:szCs w:val="24"/>
        </w:rPr>
      </w:pPr>
      <w:r w:rsidRPr="001C6BA3">
        <w:rPr>
          <w:rFonts w:ascii="Arial" w:hAnsi="Arial" w:cs="Arial"/>
          <w:sz w:val="24"/>
          <w:szCs w:val="24"/>
        </w:rPr>
        <w:t>Adentrándonos un poco en la evolución de la banca digital en el año 2023, se observa un incremento significativo en la transaccionalidad de la banca móvil (45% más respecto al 2022) y en la banca por internet con un 52%.</w:t>
      </w:r>
    </w:p>
    <w:p w14:paraId="68B4B078" w14:textId="73246EAD" w:rsidR="00A538B9" w:rsidRPr="001C6BA3" w:rsidRDefault="00A538B9" w:rsidP="007447E3">
      <w:pPr>
        <w:spacing w:line="360" w:lineRule="auto"/>
        <w:jc w:val="both"/>
        <w:rPr>
          <w:rFonts w:ascii="Arial" w:hAnsi="Arial" w:cs="Arial"/>
          <w:sz w:val="24"/>
          <w:szCs w:val="24"/>
        </w:rPr>
      </w:pPr>
      <w:r w:rsidRPr="001C6BA3">
        <w:rPr>
          <w:rFonts w:ascii="Arial" w:hAnsi="Arial" w:cs="Arial"/>
          <w:sz w:val="24"/>
          <w:szCs w:val="24"/>
        </w:rPr>
        <w:t>El crecimiento de la banca móvil está impulsado principalmente por el servicio de transferencia con el 64% del total de los 808 millones de transacciones. Este servicio se incrementó en 187 millones con un porcentaje de aumento del 56%. El año 2022 se reportaron 330,000,000 millones de transacciones para este servicio. El rubro otros dentro de la banca móvil:  en el periodo de 2023 fueron 11 millones contra los 4 millones del 2022.</w:t>
      </w:r>
    </w:p>
    <w:p w14:paraId="76E2E845" w14:textId="45F4BBCD" w:rsidR="00A538B9" w:rsidRPr="001C6BA3" w:rsidRDefault="00A538B9" w:rsidP="007447E3">
      <w:pPr>
        <w:spacing w:line="360" w:lineRule="auto"/>
        <w:jc w:val="both"/>
        <w:rPr>
          <w:rFonts w:ascii="Arial" w:hAnsi="Arial" w:cs="Arial"/>
          <w:sz w:val="24"/>
          <w:szCs w:val="24"/>
        </w:rPr>
      </w:pPr>
      <w:r w:rsidRPr="001C6BA3">
        <w:rPr>
          <w:rFonts w:ascii="Arial" w:hAnsi="Arial" w:cs="Arial"/>
          <w:sz w:val="24"/>
          <w:szCs w:val="24"/>
        </w:rPr>
        <w:t>Estos 11 millones los desglosamos así: 4 millones se realizaron pagos a través del servicio de Pagar/Reloj por medio de dispositivos wearables inteligentes (Reloj). Servicios Afiliar/Tokenizar (Tarjetas de Débito) 1 millón.</w:t>
      </w:r>
    </w:p>
    <w:p w14:paraId="79F5A8DB" w14:textId="5F054206" w:rsidR="00A538B9" w:rsidRPr="001C6BA3" w:rsidRDefault="00A538B9" w:rsidP="007447E3">
      <w:pPr>
        <w:spacing w:line="360" w:lineRule="auto"/>
        <w:jc w:val="both"/>
        <w:rPr>
          <w:rFonts w:ascii="Arial" w:hAnsi="Arial" w:cs="Arial"/>
          <w:sz w:val="24"/>
          <w:szCs w:val="24"/>
        </w:rPr>
      </w:pPr>
      <w:r w:rsidRPr="001C6BA3">
        <w:rPr>
          <w:rFonts w:ascii="Arial" w:hAnsi="Arial" w:cs="Arial"/>
          <w:sz w:val="24"/>
          <w:szCs w:val="24"/>
        </w:rPr>
        <w:t xml:space="preserve">1 millón de Servicio de Apertura para Cuentas de: Ahorro, Ahorro (Aperturada por tutor), Ahorro Navidad, trámite simplificado, debida diligencia vinculada a tarjeta de débito y trámite a tarjeta de débito </w:t>
      </w:r>
    </w:p>
    <w:p w14:paraId="581C6215" w14:textId="29706E75" w:rsidR="00F53FF4" w:rsidRPr="001C6BA3" w:rsidRDefault="008C7717" w:rsidP="007447E3">
      <w:pPr>
        <w:spacing w:line="360" w:lineRule="auto"/>
        <w:jc w:val="both"/>
        <w:rPr>
          <w:rFonts w:ascii="Arial" w:hAnsi="Arial" w:cs="Arial"/>
          <w:b/>
          <w:bCs/>
          <w:sz w:val="32"/>
          <w:szCs w:val="32"/>
          <w:lang w:val="es-ES"/>
        </w:rPr>
      </w:pPr>
      <w:r w:rsidRPr="001C6BA3">
        <w:rPr>
          <w:rFonts w:ascii="Arial" w:hAnsi="Arial" w:cs="Arial"/>
          <w:b/>
          <w:bCs/>
          <w:sz w:val="32"/>
          <w:szCs w:val="32"/>
          <w:lang w:val="es-ES"/>
        </w:rPr>
        <w:t>Recomendaciones</w:t>
      </w:r>
      <w:r w:rsidR="00F7748B" w:rsidRPr="001C6BA3">
        <w:rPr>
          <w:rFonts w:ascii="Arial" w:hAnsi="Arial" w:cs="Arial"/>
          <w:b/>
          <w:bCs/>
          <w:sz w:val="32"/>
          <w:szCs w:val="32"/>
          <w:lang w:val="es-ES"/>
        </w:rPr>
        <w:t xml:space="preserve"> FSAP</w:t>
      </w:r>
    </w:p>
    <w:p w14:paraId="401345A5" w14:textId="6A7ECEC6" w:rsidR="008C7717" w:rsidRPr="001C6BA3" w:rsidRDefault="008C7717" w:rsidP="007447E3">
      <w:pPr>
        <w:spacing w:line="360" w:lineRule="auto"/>
        <w:jc w:val="both"/>
        <w:rPr>
          <w:rFonts w:ascii="Arial" w:hAnsi="Arial" w:cs="Arial"/>
          <w:sz w:val="24"/>
          <w:szCs w:val="24"/>
          <w:lang w:val="es-ES"/>
        </w:rPr>
      </w:pPr>
      <w:r w:rsidRPr="001C6BA3">
        <w:rPr>
          <w:rFonts w:ascii="Arial" w:hAnsi="Arial" w:cs="Arial"/>
          <w:sz w:val="24"/>
          <w:szCs w:val="24"/>
          <w:lang w:val="es-ES"/>
        </w:rPr>
        <w:t>Durante la Evaluación del Sistema Financiero (FSAP) llevado a cabo el año pasado por el FMI y el Banco Mundial, se revisaron distintos temas.  Para lo cual se solicitó una gran cantidad de datos</w:t>
      </w:r>
      <w:r w:rsidR="00AA548E" w:rsidRPr="001C6BA3">
        <w:rPr>
          <w:rFonts w:ascii="Arial" w:hAnsi="Arial" w:cs="Arial"/>
          <w:sz w:val="24"/>
          <w:szCs w:val="24"/>
          <w:lang w:val="es-ES"/>
        </w:rPr>
        <w:t xml:space="preserve"> e información</w:t>
      </w:r>
      <w:r w:rsidRPr="001C6BA3">
        <w:rPr>
          <w:rFonts w:ascii="Arial" w:hAnsi="Arial" w:cs="Arial"/>
          <w:sz w:val="24"/>
          <w:szCs w:val="24"/>
          <w:lang w:val="es-ES"/>
        </w:rPr>
        <w:t xml:space="preserve"> y se realizaron m</w:t>
      </w:r>
      <w:r w:rsidR="00691F61" w:rsidRPr="001C6BA3">
        <w:rPr>
          <w:rFonts w:ascii="Arial" w:hAnsi="Arial" w:cs="Arial"/>
          <w:sz w:val="24"/>
          <w:szCs w:val="24"/>
          <w:lang w:val="es-ES"/>
        </w:rPr>
        <w:t>ás de 1</w:t>
      </w:r>
      <w:r w:rsidR="00AF3E82" w:rsidRPr="001C6BA3">
        <w:rPr>
          <w:rFonts w:ascii="Arial" w:hAnsi="Arial" w:cs="Arial"/>
          <w:sz w:val="24"/>
          <w:szCs w:val="24"/>
          <w:lang w:val="es-ES"/>
        </w:rPr>
        <w:t>8</w:t>
      </w:r>
      <w:r w:rsidR="00691F61" w:rsidRPr="001C6BA3">
        <w:rPr>
          <w:rFonts w:ascii="Arial" w:hAnsi="Arial" w:cs="Arial"/>
          <w:sz w:val="24"/>
          <w:szCs w:val="24"/>
          <w:lang w:val="es-ES"/>
        </w:rPr>
        <w:t>0</w:t>
      </w:r>
      <w:r w:rsidRPr="001C6BA3">
        <w:rPr>
          <w:rFonts w:ascii="Arial" w:hAnsi="Arial" w:cs="Arial"/>
          <w:sz w:val="24"/>
          <w:szCs w:val="24"/>
          <w:lang w:val="es-ES"/>
        </w:rPr>
        <w:t xml:space="preserve"> reuniones</w:t>
      </w:r>
      <w:r w:rsidR="00AA548E" w:rsidRPr="001C6BA3">
        <w:rPr>
          <w:rFonts w:ascii="Arial" w:hAnsi="Arial" w:cs="Arial"/>
          <w:sz w:val="24"/>
          <w:szCs w:val="24"/>
          <w:lang w:val="es-ES"/>
        </w:rPr>
        <w:t xml:space="preserve"> de trabajo con el sector financiero</w:t>
      </w:r>
      <w:r w:rsidRPr="001C6BA3">
        <w:rPr>
          <w:rFonts w:ascii="Arial" w:hAnsi="Arial" w:cs="Arial"/>
          <w:sz w:val="24"/>
          <w:szCs w:val="24"/>
          <w:lang w:val="es-ES"/>
        </w:rPr>
        <w:t>.  Una vez finalizado, se recibieron las recomendaciones, algunas de las cuales ya se han cumplido o están en proceso de implementación.  La evaluación abarcó 6 áreas.   En una de ellas, específicamente la relativa a la revisión de los 29 principios básicos</w:t>
      </w:r>
      <w:r w:rsidR="00AA548E" w:rsidRPr="001C6BA3">
        <w:rPr>
          <w:rFonts w:ascii="Arial" w:hAnsi="Arial" w:cs="Arial"/>
          <w:sz w:val="24"/>
          <w:szCs w:val="24"/>
          <w:lang w:val="es-ES"/>
        </w:rPr>
        <w:t xml:space="preserve"> para una supervisión efectiva del </w:t>
      </w:r>
      <w:r w:rsidR="00AA548E" w:rsidRPr="001C6BA3">
        <w:rPr>
          <w:rFonts w:ascii="Arial" w:hAnsi="Arial" w:cs="Arial"/>
          <w:sz w:val="24"/>
          <w:szCs w:val="24"/>
          <w:lang w:val="es-ES"/>
        </w:rPr>
        <w:lastRenderedPageBreak/>
        <w:t>Comité</w:t>
      </w:r>
      <w:r w:rsidRPr="001C6BA3">
        <w:rPr>
          <w:rFonts w:ascii="Arial" w:hAnsi="Arial" w:cs="Arial"/>
          <w:sz w:val="24"/>
          <w:szCs w:val="24"/>
          <w:lang w:val="es-ES"/>
        </w:rPr>
        <w:t xml:space="preserve"> de Basilea, </w:t>
      </w:r>
      <w:r w:rsidR="00AA548E" w:rsidRPr="001C6BA3">
        <w:rPr>
          <w:rFonts w:ascii="Arial" w:hAnsi="Arial" w:cs="Arial"/>
          <w:sz w:val="24"/>
          <w:szCs w:val="24"/>
          <w:lang w:val="es-ES"/>
        </w:rPr>
        <w:t xml:space="preserve">lo que </w:t>
      </w:r>
      <w:r w:rsidRPr="001C6BA3">
        <w:rPr>
          <w:rFonts w:ascii="Arial" w:hAnsi="Arial" w:cs="Arial"/>
          <w:sz w:val="24"/>
          <w:szCs w:val="24"/>
          <w:lang w:val="es-ES"/>
        </w:rPr>
        <w:t xml:space="preserve">concluyó con un </w:t>
      </w:r>
      <w:proofErr w:type="spellStart"/>
      <w:r w:rsidRPr="001C6BA3">
        <w:rPr>
          <w:rFonts w:ascii="Arial" w:hAnsi="Arial" w:cs="Arial"/>
          <w:sz w:val="24"/>
          <w:szCs w:val="24"/>
          <w:lang w:val="es-ES"/>
        </w:rPr>
        <w:t>assestment</w:t>
      </w:r>
      <w:proofErr w:type="spellEnd"/>
      <w:r w:rsidRPr="001C6BA3">
        <w:rPr>
          <w:rFonts w:ascii="Arial" w:hAnsi="Arial" w:cs="Arial"/>
          <w:sz w:val="24"/>
          <w:szCs w:val="24"/>
          <w:lang w:val="es-ES"/>
        </w:rPr>
        <w:t>.  Las demás áreas finalizaron con nota</w:t>
      </w:r>
      <w:r w:rsidR="00AA548E" w:rsidRPr="001C6BA3">
        <w:rPr>
          <w:rFonts w:ascii="Arial" w:hAnsi="Arial" w:cs="Arial"/>
          <w:sz w:val="24"/>
          <w:szCs w:val="24"/>
          <w:lang w:val="es-ES"/>
        </w:rPr>
        <w:t>s</w:t>
      </w:r>
      <w:r w:rsidRPr="001C6BA3">
        <w:rPr>
          <w:rFonts w:ascii="Arial" w:hAnsi="Arial" w:cs="Arial"/>
          <w:sz w:val="24"/>
          <w:szCs w:val="24"/>
          <w:lang w:val="es-ES"/>
        </w:rPr>
        <w:t xml:space="preserve"> técnica</w:t>
      </w:r>
      <w:r w:rsidR="00AA548E" w:rsidRPr="001C6BA3">
        <w:rPr>
          <w:rFonts w:ascii="Arial" w:hAnsi="Arial" w:cs="Arial"/>
          <w:sz w:val="24"/>
          <w:szCs w:val="24"/>
          <w:lang w:val="es-ES"/>
        </w:rPr>
        <w:t>s</w:t>
      </w:r>
      <w:r w:rsidRPr="001C6BA3">
        <w:rPr>
          <w:rFonts w:ascii="Arial" w:hAnsi="Arial" w:cs="Arial"/>
          <w:sz w:val="24"/>
          <w:szCs w:val="24"/>
          <w:lang w:val="es-ES"/>
        </w:rPr>
        <w:t xml:space="preserve">, o </w:t>
      </w:r>
      <w:r w:rsidR="00AA548E" w:rsidRPr="001C6BA3">
        <w:rPr>
          <w:rFonts w:ascii="Arial" w:hAnsi="Arial" w:cs="Arial"/>
          <w:sz w:val="24"/>
          <w:szCs w:val="24"/>
          <w:lang w:val="es-ES"/>
        </w:rPr>
        <w:t>resúmenes</w:t>
      </w:r>
      <w:r w:rsidRPr="001C6BA3">
        <w:rPr>
          <w:rFonts w:ascii="Arial" w:hAnsi="Arial" w:cs="Arial"/>
          <w:sz w:val="24"/>
          <w:szCs w:val="24"/>
          <w:lang w:val="es-ES"/>
        </w:rPr>
        <w:t xml:space="preserve"> de recomendaciones para las mejoras de dichas temáticas.  </w:t>
      </w:r>
    </w:p>
    <w:p w14:paraId="3E63A814" w14:textId="77777777" w:rsidR="008C7717" w:rsidRPr="001C6BA3" w:rsidRDefault="008C7717" w:rsidP="007447E3">
      <w:pPr>
        <w:spacing w:line="360" w:lineRule="auto"/>
        <w:jc w:val="both"/>
        <w:rPr>
          <w:rFonts w:ascii="Arial" w:hAnsi="Arial" w:cs="Arial"/>
          <w:sz w:val="24"/>
          <w:szCs w:val="24"/>
          <w:lang w:val="es-ES"/>
        </w:rPr>
      </w:pPr>
      <w:r w:rsidRPr="001C6BA3">
        <w:rPr>
          <w:rFonts w:ascii="Arial" w:hAnsi="Arial" w:cs="Arial"/>
          <w:sz w:val="24"/>
          <w:szCs w:val="24"/>
          <w:lang w:val="es-ES"/>
        </w:rPr>
        <w:t>Resumiendo, por tema, en el caso de los BCP o (Revisión de los principios básicos) resaltan las siguientes regulaciones:</w:t>
      </w:r>
    </w:p>
    <w:p w14:paraId="1033D8A4" w14:textId="77777777" w:rsidR="008C7717" w:rsidRPr="001C6BA3" w:rsidRDefault="008C7717" w:rsidP="007447E3">
      <w:pPr>
        <w:spacing w:line="360" w:lineRule="auto"/>
        <w:jc w:val="both"/>
        <w:rPr>
          <w:rFonts w:ascii="Arial" w:hAnsi="Arial" w:cs="Arial"/>
          <w:sz w:val="24"/>
          <w:szCs w:val="24"/>
          <w:lang w:val="es-ES"/>
        </w:rPr>
      </w:pPr>
      <w:r w:rsidRPr="001C6BA3">
        <w:rPr>
          <w:rFonts w:ascii="Arial" w:hAnsi="Arial" w:cs="Arial"/>
          <w:sz w:val="24"/>
          <w:szCs w:val="24"/>
          <w:lang w:val="es-ES"/>
        </w:rPr>
        <w:t>-Riesgo de tasa de interés,</w:t>
      </w:r>
    </w:p>
    <w:p w14:paraId="300AC918" w14:textId="3E2CE165" w:rsidR="008C7717" w:rsidRPr="001C6BA3" w:rsidRDefault="008C7717" w:rsidP="007447E3">
      <w:pPr>
        <w:spacing w:line="360" w:lineRule="auto"/>
        <w:jc w:val="both"/>
        <w:rPr>
          <w:rFonts w:ascii="Arial" w:hAnsi="Arial" w:cs="Arial"/>
          <w:sz w:val="24"/>
          <w:szCs w:val="24"/>
          <w:lang w:val="es-ES"/>
        </w:rPr>
      </w:pPr>
      <w:r w:rsidRPr="001C6BA3">
        <w:rPr>
          <w:rFonts w:ascii="Arial" w:hAnsi="Arial" w:cs="Arial"/>
          <w:sz w:val="24"/>
          <w:szCs w:val="24"/>
          <w:lang w:val="es-ES"/>
        </w:rPr>
        <w:t>-ICAAP o proceso de evaluación de</w:t>
      </w:r>
      <w:r w:rsidR="00AA548E" w:rsidRPr="001C6BA3">
        <w:rPr>
          <w:rFonts w:ascii="Arial" w:hAnsi="Arial" w:cs="Arial"/>
          <w:sz w:val="24"/>
          <w:szCs w:val="24"/>
          <w:lang w:val="es-ES"/>
        </w:rPr>
        <w:t xml:space="preserve"> la adecuación de</w:t>
      </w:r>
      <w:r w:rsidRPr="001C6BA3">
        <w:rPr>
          <w:rFonts w:ascii="Arial" w:hAnsi="Arial" w:cs="Arial"/>
          <w:sz w:val="24"/>
          <w:szCs w:val="24"/>
          <w:lang w:val="es-ES"/>
        </w:rPr>
        <w:t xml:space="preserve"> capital y la realización de pruebas de tensión por parte de las entidades bancarias, debido a que la SBP</w:t>
      </w:r>
      <w:r w:rsidR="00AA548E" w:rsidRPr="001C6BA3">
        <w:rPr>
          <w:rFonts w:ascii="Arial" w:hAnsi="Arial" w:cs="Arial"/>
          <w:sz w:val="24"/>
          <w:szCs w:val="24"/>
          <w:lang w:val="es-ES"/>
        </w:rPr>
        <w:t xml:space="preserve"> ya</w:t>
      </w:r>
      <w:r w:rsidRPr="001C6BA3">
        <w:rPr>
          <w:rFonts w:ascii="Arial" w:hAnsi="Arial" w:cs="Arial"/>
          <w:sz w:val="24"/>
          <w:szCs w:val="24"/>
          <w:lang w:val="es-ES"/>
        </w:rPr>
        <w:t xml:space="preserve"> realiza dichas pruebas bajo escenarios</w:t>
      </w:r>
      <w:r w:rsidR="00AA548E" w:rsidRPr="001C6BA3">
        <w:rPr>
          <w:rFonts w:ascii="Arial" w:hAnsi="Arial" w:cs="Arial"/>
          <w:sz w:val="24"/>
          <w:szCs w:val="24"/>
          <w:lang w:val="es-ES"/>
        </w:rPr>
        <w:t xml:space="preserve"> y enfoque</w:t>
      </w:r>
      <w:r w:rsidRPr="001C6BA3">
        <w:rPr>
          <w:rFonts w:ascii="Arial" w:hAnsi="Arial" w:cs="Arial"/>
          <w:sz w:val="24"/>
          <w:szCs w:val="24"/>
          <w:lang w:val="es-ES"/>
        </w:rPr>
        <w:t xml:space="preserve"> macro prudenciales. </w:t>
      </w:r>
    </w:p>
    <w:p w14:paraId="28D17C6E" w14:textId="241D609B" w:rsidR="008C7717" w:rsidRPr="001C6BA3" w:rsidRDefault="008C7717"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En cuanto al segundo tema sobre Riesgo Sistémico y Marco </w:t>
      </w:r>
      <w:r w:rsidR="00C01030" w:rsidRPr="001C6BA3">
        <w:rPr>
          <w:rFonts w:ascii="Arial" w:hAnsi="Arial" w:cs="Arial"/>
          <w:sz w:val="24"/>
          <w:szCs w:val="24"/>
          <w:lang w:val="es-ES"/>
        </w:rPr>
        <w:t>de</w:t>
      </w:r>
      <w:r w:rsidRPr="001C6BA3">
        <w:rPr>
          <w:rFonts w:ascii="Arial" w:hAnsi="Arial" w:cs="Arial"/>
          <w:sz w:val="24"/>
          <w:szCs w:val="24"/>
          <w:lang w:val="es-ES"/>
        </w:rPr>
        <w:t xml:space="preserve"> Políticas </w:t>
      </w:r>
      <w:r w:rsidR="00AA548E" w:rsidRPr="001C6BA3">
        <w:rPr>
          <w:rFonts w:ascii="Arial" w:hAnsi="Arial" w:cs="Arial"/>
          <w:sz w:val="24"/>
          <w:szCs w:val="24"/>
          <w:lang w:val="es-ES"/>
        </w:rPr>
        <w:t>Macro Prudenciales</w:t>
      </w:r>
      <w:r w:rsidRPr="001C6BA3">
        <w:rPr>
          <w:rFonts w:ascii="Arial" w:hAnsi="Arial" w:cs="Arial"/>
          <w:sz w:val="24"/>
          <w:szCs w:val="24"/>
          <w:lang w:val="es-ES"/>
        </w:rPr>
        <w:t>: prácticamente al final de</w:t>
      </w:r>
      <w:r w:rsidR="00C2508F" w:rsidRPr="001C6BA3">
        <w:rPr>
          <w:rFonts w:ascii="Arial" w:hAnsi="Arial" w:cs="Arial"/>
          <w:sz w:val="24"/>
          <w:szCs w:val="24"/>
          <w:lang w:val="es-ES"/>
        </w:rPr>
        <w:t>l presente</w:t>
      </w:r>
      <w:r w:rsidRPr="001C6BA3">
        <w:rPr>
          <w:rFonts w:ascii="Arial" w:hAnsi="Arial" w:cs="Arial"/>
          <w:sz w:val="24"/>
          <w:szCs w:val="24"/>
          <w:lang w:val="es-ES"/>
        </w:rPr>
        <w:t xml:space="preserve"> año estaríamos cumpliendo con las tres recomendaciones, ya que se cuenta con una regulación de requerimiento de colchón de conservación</w:t>
      </w:r>
      <w:r w:rsidR="00C2508F" w:rsidRPr="001C6BA3">
        <w:rPr>
          <w:rFonts w:ascii="Arial" w:hAnsi="Arial" w:cs="Arial"/>
          <w:sz w:val="24"/>
          <w:szCs w:val="24"/>
          <w:lang w:val="es-ES"/>
        </w:rPr>
        <w:t xml:space="preserve"> de capital</w:t>
      </w:r>
      <w:r w:rsidRPr="001C6BA3">
        <w:rPr>
          <w:rFonts w:ascii="Arial" w:hAnsi="Arial" w:cs="Arial"/>
          <w:sz w:val="24"/>
          <w:szCs w:val="24"/>
          <w:lang w:val="es-ES"/>
        </w:rPr>
        <w:t xml:space="preserve">.   También se cuenta con datos de ingresos para evaluar eventos de sobreendeudamiento, como lo vimos </w:t>
      </w:r>
      <w:r w:rsidR="00C2508F" w:rsidRPr="001C6BA3">
        <w:rPr>
          <w:rFonts w:ascii="Arial" w:hAnsi="Arial" w:cs="Arial"/>
          <w:sz w:val="24"/>
          <w:szCs w:val="24"/>
          <w:lang w:val="es-ES"/>
        </w:rPr>
        <w:t>anteriormente</w:t>
      </w:r>
      <w:r w:rsidRPr="001C6BA3">
        <w:rPr>
          <w:rFonts w:ascii="Arial" w:hAnsi="Arial" w:cs="Arial"/>
          <w:sz w:val="24"/>
          <w:szCs w:val="24"/>
          <w:lang w:val="es-ES"/>
        </w:rPr>
        <w:t xml:space="preserve"> y esto ha sido posible gracias a la data recibida</w:t>
      </w:r>
      <w:r w:rsidR="00C2508F" w:rsidRPr="001C6BA3">
        <w:rPr>
          <w:rFonts w:ascii="Arial" w:hAnsi="Arial" w:cs="Arial"/>
          <w:sz w:val="24"/>
          <w:szCs w:val="24"/>
          <w:lang w:val="es-ES"/>
        </w:rPr>
        <w:t xml:space="preserve"> de las entidades bancarias</w:t>
      </w:r>
      <w:r w:rsidRPr="001C6BA3">
        <w:rPr>
          <w:rFonts w:ascii="Arial" w:hAnsi="Arial" w:cs="Arial"/>
          <w:sz w:val="24"/>
          <w:szCs w:val="24"/>
          <w:lang w:val="es-ES"/>
        </w:rPr>
        <w:t>, en la</w:t>
      </w:r>
      <w:r w:rsidR="00C2508F" w:rsidRPr="001C6BA3">
        <w:rPr>
          <w:rFonts w:ascii="Arial" w:hAnsi="Arial" w:cs="Arial"/>
          <w:sz w:val="24"/>
          <w:szCs w:val="24"/>
          <w:lang w:val="es-ES"/>
        </w:rPr>
        <w:t xml:space="preserve"> tabla</w:t>
      </w:r>
      <w:r w:rsidRPr="001C6BA3">
        <w:rPr>
          <w:rFonts w:ascii="Arial" w:hAnsi="Arial" w:cs="Arial"/>
          <w:sz w:val="24"/>
          <w:szCs w:val="24"/>
          <w:lang w:val="es-ES"/>
        </w:rPr>
        <w:t xml:space="preserve"> BAN22, la cual a medida que se depuren mejor los datos, tendremos elementos de mayor calidad para dicho análisis y finalmente</w:t>
      </w:r>
      <w:r w:rsidR="00C2508F" w:rsidRPr="001C6BA3">
        <w:rPr>
          <w:rFonts w:ascii="Arial" w:hAnsi="Arial" w:cs="Arial"/>
          <w:sz w:val="24"/>
          <w:szCs w:val="24"/>
          <w:lang w:val="es-ES"/>
        </w:rPr>
        <w:t>,</w:t>
      </w:r>
      <w:r w:rsidRPr="001C6BA3">
        <w:rPr>
          <w:rFonts w:ascii="Arial" w:hAnsi="Arial" w:cs="Arial"/>
          <w:sz w:val="24"/>
          <w:szCs w:val="24"/>
          <w:lang w:val="es-ES"/>
        </w:rPr>
        <w:t xml:space="preserve"> en el segundo semestre estaríamos emitiendo la normativa sobre riesgo sistémico </w:t>
      </w:r>
      <w:r w:rsidR="004B75B1" w:rsidRPr="001C6BA3">
        <w:rPr>
          <w:rFonts w:ascii="Arial" w:hAnsi="Arial" w:cs="Arial"/>
          <w:sz w:val="24"/>
          <w:szCs w:val="24"/>
          <w:lang w:val="es-ES"/>
        </w:rPr>
        <w:t xml:space="preserve">para bancos de importancia sistémica </w:t>
      </w:r>
      <w:r w:rsidRPr="001C6BA3">
        <w:rPr>
          <w:rFonts w:ascii="Arial" w:hAnsi="Arial" w:cs="Arial"/>
          <w:sz w:val="24"/>
          <w:szCs w:val="24"/>
          <w:lang w:val="es-ES"/>
        </w:rPr>
        <w:t>con su respectivo cronograma de implementación.</w:t>
      </w:r>
    </w:p>
    <w:p w14:paraId="079F5238" w14:textId="7C21D277" w:rsidR="008C7717" w:rsidRPr="001C6BA3" w:rsidRDefault="008C7717" w:rsidP="007447E3">
      <w:pPr>
        <w:spacing w:line="360" w:lineRule="auto"/>
        <w:jc w:val="both"/>
        <w:rPr>
          <w:rFonts w:ascii="Arial" w:hAnsi="Arial" w:cs="Arial"/>
          <w:sz w:val="24"/>
          <w:szCs w:val="24"/>
          <w:lang w:val="es-ES"/>
        </w:rPr>
      </w:pPr>
      <w:r w:rsidRPr="001C6BA3">
        <w:rPr>
          <w:rFonts w:ascii="Arial" w:hAnsi="Arial" w:cs="Arial"/>
          <w:sz w:val="24"/>
          <w:szCs w:val="24"/>
          <w:lang w:val="es-ES"/>
        </w:rPr>
        <w:t xml:space="preserve">Durante el FSAP se recibieron recomendaciones en temas de </w:t>
      </w:r>
      <w:r w:rsidR="00C2508F" w:rsidRPr="001C6BA3">
        <w:rPr>
          <w:rFonts w:ascii="Arial" w:hAnsi="Arial" w:cs="Arial"/>
          <w:sz w:val="24"/>
          <w:szCs w:val="24"/>
          <w:lang w:val="es-ES"/>
        </w:rPr>
        <w:t>g</w:t>
      </w:r>
      <w:r w:rsidRPr="001C6BA3">
        <w:rPr>
          <w:rFonts w:ascii="Arial" w:hAnsi="Arial" w:cs="Arial"/>
          <w:sz w:val="24"/>
          <w:szCs w:val="24"/>
          <w:lang w:val="es-ES"/>
        </w:rPr>
        <w:t>estión de crisis y seguridad financiera, integridad financiera y sistema de pagos.</w:t>
      </w:r>
    </w:p>
    <w:p w14:paraId="412FE3C3" w14:textId="594A38F3" w:rsidR="001C5D5A" w:rsidRPr="001C6BA3" w:rsidRDefault="00C91C32" w:rsidP="001C5D5A">
      <w:pPr>
        <w:spacing w:line="360" w:lineRule="auto"/>
        <w:jc w:val="both"/>
        <w:rPr>
          <w:rFonts w:ascii="Arial" w:hAnsi="Arial" w:cs="Arial"/>
          <w:b/>
          <w:bCs/>
          <w:sz w:val="32"/>
          <w:szCs w:val="32"/>
          <w:lang w:val="es-ES"/>
        </w:rPr>
      </w:pPr>
      <w:r w:rsidRPr="001C6BA3">
        <w:rPr>
          <w:rFonts w:ascii="Arial" w:hAnsi="Arial" w:cs="Arial"/>
          <w:b/>
          <w:bCs/>
          <w:sz w:val="32"/>
          <w:szCs w:val="32"/>
          <w:lang w:val="es-ES"/>
        </w:rPr>
        <w:t xml:space="preserve">Taxonomía </w:t>
      </w:r>
      <w:r w:rsidR="00013C21" w:rsidRPr="001C6BA3">
        <w:rPr>
          <w:rFonts w:ascii="Arial" w:hAnsi="Arial" w:cs="Arial"/>
          <w:b/>
          <w:bCs/>
          <w:sz w:val="32"/>
          <w:szCs w:val="32"/>
          <w:lang w:val="es-ES"/>
        </w:rPr>
        <w:t>(</w:t>
      </w:r>
      <w:r w:rsidR="009F315E" w:rsidRPr="001C6BA3">
        <w:rPr>
          <w:rFonts w:ascii="Arial" w:hAnsi="Arial" w:cs="Arial"/>
          <w:b/>
          <w:bCs/>
          <w:sz w:val="32"/>
          <w:szCs w:val="32"/>
          <w:lang w:val="es-ES"/>
        </w:rPr>
        <w:t>Finanzas sostenibles-riesgo climático)</w:t>
      </w:r>
    </w:p>
    <w:p w14:paraId="6DC93210" w14:textId="0F779B55" w:rsidR="00785E23" w:rsidRPr="001C6BA3" w:rsidRDefault="00397788" w:rsidP="00F1201E">
      <w:pPr>
        <w:spacing w:line="360" w:lineRule="auto"/>
        <w:jc w:val="both"/>
        <w:rPr>
          <w:rFonts w:ascii="Arial" w:hAnsi="Arial" w:cs="Arial"/>
          <w:sz w:val="24"/>
          <w:szCs w:val="24"/>
        </w:rPr>
      </w:pPr>
      <w:r w:rsidRPr="001C6BA3">
        <w:rPr>
          <w:rFonts w:ascii="Arial" w:hAnsi="Arial" w:cs="Arial"/>
          <w:sz w:val="24"/>
          <w:szCs w:val="24"/>
        </w:rPr>
        <w:t xml:space="preserve">Con respecto a la regulación y supervisión climática, la SBP forma parte de diferentes comités sobre riesgos ambientales y sociales, siendo uno de los principales el Comité de Supervisión de la Taxonomía de Finanzas Sostenibles de Panamá el cual es liderado por el Ministerio de Ambiente, el Comité Ad-hoc de Riesgos Ambientales y Sociales del CCSBSO, entre otros. Esperamos contar con una Taxonomía de finanzas sostenibles para el país y la región, la cual </w:t>
      </w:r>
      <w:r w:rsidR="004B75B1" w:rsidRPr="001C6BA3">
        <w:rPr>
          <w:rFonts w:ascii="Arial" w:hAnsi="Arial" w:cs="Arial"/>
          <w:sz w:val="24"/>
          <w:szCs w:val="24"/>
        </w:rPr>
        <w:t xml:space="preserve">se lanzará </w:t>
      </w:r>
      <w:r w:rsidR="004B75B1" w:rsidRPr="001C6BA3">
        <w:rPr>
          <w:rFonts w:ascii="Arial" w:hAnsi="Arial" w:cs="Arial"/>
          <w:sz w:val="24"/>
          <w:szCs w:val="24"/>
        </w:rPr>
        <w:lastRenderedPageBreak/>
        <w:t>oficialmente</w:t>
      </w:r>
      <w:r w:rsidRPr="001C6BA3">
        <w:rPr>
          <w:rFonts w:ascii="Arial" w:hAnsi="Arial" w:cs="Arial"/>
          <w:sz w:val="24"/>
          <w:szCs w:val="24"/>
        </w:rPr>
        <w:t xml:space="preserve"> el</w:t>
      </w:r>
      <w:r w:rsidR="004B75B1" w:rsidRPr="001C6BA3">
        <w:rPr>
          <w:rFonts w:ascii="Arial" w:hAnsi="Arial" w:cs="Arial"/>
          <w:sz w:val="24"/>
          <w:szCs w:val="24"/>
        </w:rPr>
        <w:t xml:space="preserve"> próximo</w:t>
      </w:r>
      <w:r w:rsidRPr="001C6BA3">
        <w:rPr>
          <w:rFonts w:ascii="Arial" w:hAnsi="Arial" w:cs="Arial"/>
          <w:sz w:val="24"/>
          <w:szCs w:val="24"/>
        </w:rPr>
        <w:t xml:space="preserve"> </w:t>
      </w:r>
      <w:r w:rsidR="00B8438C" w:rsidRPr="001C6BA3">
        <w:rPr>
          <w:rFonts w:ascii="Arial" w:hAnsi="Arial" w:cs="Arial"/>
          <w:sz w:val="24"/>
          <w:szCs w:val="24"/>
        </w:rPr>
        <w:t>27 de marzo</w:t>
      </w:r>
      <w:r w:rsidRPr="001C6BA3">
        <w:rPr>
          <w:rFonts w:ascii="Arial" w:hAnsi="Arial" w:cs="Arial"/>
          <w:sz w:val="24"/>
          <w:szCs w:val="24"/>
        </w:rPr>
        <w:t>, a futuro esperamos contar con un sistema de administración de riesgos ambientales y sociales, lo cual contribuirá tanto local como regionalmente a mejorar la obtención de datos de las actividades más vulnerables a estos riesgos, realizar pruebas de estrés sobre el impacto de los riesgos climáticos, entre otros. Adicional se está recibiendo asistencia técnica por parte del Banco Mundial en seguimiento a las recomendaciones del FSAP.</w:t>
      </w:r>
    </w:p>
    <w:p w14:paraId="0177BC06" w14:textId="77777777" w:rsidR="001C6BA3" w:rsidRDefault="001C6BA3" w:rsidP="007447E3">
      <w:pPr>
        <w:spacing w:line="360" w:lineRule="auto"/>
        <w:rPr>
          <w:rFonts w:ascii="Arial" w:hAnsi="Arial" w:cs="Arial"/>
          <w:b/>
          <w:bCs/>
        </w:rPr>
      </w:pPr>
    </w:p>
    <w:p w14:paraId="35030C79" w14:textId="4591B273" w:rsidR="00D70641" w:rsidRPr="001C6BA3" w:rsidRDefault="00D70641" w:rsidP="007447E3">
      <w:pPr>
        <w:spacing w:line="360" w:lineRule="auto"/>
        <w:rPr>
          <w:rFonts w:ascii="Arial" w:hAnsi="Arial" w:cs="Arial"/>
          <w:b/>
          <w:bCs/>
          <w:sz w:val="32"/>
          <w:szCs w:val="32"/>
        </w:rPr>
      </w:pPr>
      <w:r w:rsidRPr="001C6BA3">
        <w:rPr>
          <w:rFonts w:ascii="Arial" w:hAnsi="Arial" w:cs="Arial"/>
          <w:b/>
          <w:bCs/>
          <w:sz w:val="32"/>
          <w:szCs w:val="32"/>
        </w:rPr>
        <w:t>Hoja regulatoria</w:t>
      </w:r>
    </w:p>
    <w:p w14:paraId="6380AFE5" w14:textId="03F4B810" w:rsidR="001C3746" w:rsidRPr="00F1201E" w:rsidRDefault="00AB10CF" w:rsidP="007447E3">
      <w:pPr>
        <w:spacing w:line="360" w:lineRule="auto"/>
        <w:rPr>
          <w:rFonts w:ascii="Arial" w:hAnsi="Arial" w:cs="Arial"/>
          <w:b/>
          <w:bCs/>
        </w:rPr>
      </w:pPr>
      <w:r w:rsidRPr="00F1201E">
        <w:rPr>
          <w:rFonts w:ascii="Arial" w:hAnsi="Arial" w:cs="Arial"/>
          <w:b/>
          <w:bCs/>
          <w:noProof/>
        </w:rPr>
        <w:drawing>
          <wp:inline distT="0" distB="0" distL="0" distR="0" wp14:anchorId="496A7E6E" wp14:editId="3E405ECB">
            <wp:extent cx="5609967" cy="3474383"/>
            <wp:effectExtent l="0" t="0" r="0" b="0"/>
            <wp:docPr id="473" name="Imagen 472" descr="Interfaz de usuario gráfica, Texto, Aplicación&#10;&#10;Descripción generada automáticamente">
              <a:extLst xmlns:a="http://schemas.openxmlformats.org/drawingml/2006/main">
                <a:ext uri="{FF2B5EF4-FFF2-40B4-BE49-F238E27FC236}">
                  <a16:creationId xmlns:a16="http://schemas.microsoft.com/office/drawing/2014/main" id="{25367265-8D92-8090-C493-E06C07638A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Imagen 472" descr="Interfaz de usuario gráfica, Texto, Aplicación&#10;&#10;Descripción generada automáticamente">
                      <a:extLst>
                        <a:ext uri="{FF2B5EF4-FFF2-40B4-BE49-F238E27FC236}">
                          <a16:creationId xmlns:a16="http://schemas.microsoft.com/office/drawing/2014/main" id="{25367265-8D92-8090-C493-E06C07638A4E}"/>
                        </a:ext>
                      </a:extLst>
                    </pic:cNvPr>
                    <pic:cNvPicPr>
                      <a:picLocks noChangeAspect="1"/>
                    </pic:cNvPicPr>
                  </pic:nvPicPr>
                  <pic:blipFill>
                    <a:blip r:embed="rId5"/>
                    <a:stretch>
                      <a:fillRect/>
                    </a:stretch>
                  </pic:blipFill>
                  <pic:spPr>
                    <a:xfrm>
                      <a:off x="0" y="0"/>
                      <a:ext cx="5624876" cy="3483617"/>
                    </a:xfrm>
                    <a:prstGeom prst="rect">
                      <a:avLst/>
                    </a:prstGeom>
                  </pic:spPr>
                </pic:pic>
              </a:graphicData>
            </a:graphic>
          </wp:inline>
        </w:drawing>
      </w:r>
    </w:p>
    <w:p w14:paraId="0D784584" w14:textId="6F4FA205" w:rsidR="00D851E4" w:rsidRPr="00F1201E" w:rsidRDefault="00D851E4" w:rsidP="00D851E4">
      <w:pPr>
        <w:spacing w:after="0" w:line="360" w:lineRule="auto"/>
        <w:rPr>
          <w:rFonts w:ascii="Arial" w:hAnsi="Arial" w:cs="Arial"/>
          <w:b/>
          <w:bCs/>
        </w:rPr>
      </w:pPr>
    </w:p>
    <w:p w14:paraId="6BE494E5" w14:textId="77777777" w:rsidR="003F200B" w:rsidRPr="00F1201E" w:rsidRDefault="003F200B" w:rsidP="00D851E4">
      <w:pPr>
        <w:spacing w:after="0" w:line="360" w:lineRule="auto"/>
        <w:rPr>
          <w:rFonts w:ascii="Arial" w:hAnsi="Arial" w:cs="Arial"/>
          <w:b/>
          <w:bCs/>
        </w:rPr>
      </w:pPr>
    </w:p>
    <w:p w14:paraId="6481BBD9" w14:textId="77777777" w:rsidR="003F200B" w:rsidRPr="00F1201E" w:rsidRDefault="003F200B" w:rsidP="00D851E4">
      <w:pPr>
        <w:spacing w:after="0" w:line="360" w:lineRule="auto"/>
        <w:rPr>
          <w:rFonts w:ascii="Arial" w:hAnsi="Arial" w:cs="Arial"/>
          <w:b/>
          <w:bCs/>
        </w:rPr>
      </w:pPr>
    </w:p>
    <w:p w14:paraId="52629B10" w14:textId="77777777" w:rsidR="00C2508F" w:rsidRPr="00F1201E" w:rsidRDefault="00C2508F" w:rsidP="007447E3">
      <w:pPr>
        <w:spacing w:line="360" w:lineRule="auto"/>
        <w:rPr>
          <w:rFonts w:ascii="Arial" w:hAnsi="Arial" w:cs="Arial"/>
          <w:b/>
          <w:bCs/>
        </w:rPr>
      </w:pPr>
    </w:p>
    <w:p w14:paraId="53773341" w14:textId="77777777" w:rsidR="00C2508F" w:rsidRPr="00F1201E" w:rsidRDefault="00C2508F" w:rsidP="007447E3">
      <w:pPr>
        <w:spacing w:line="360" w:lineRule="auto"/>
        <w:rPr>
          <w:rFonts w:ascii="Arial" w:hAnsi="Arial" w:cs="Arial"/>
          <w:b/>
          <w:bCs/>
        </w:rPr>
      </w:pPr>
    </w:p>
    <w:p w14:paraId="63629528" w14:textId="77777777" w:rsidR="00C2508F" w:rsidRPr="00F1201E" w:rsidRDefault="00C2508F" w:rsidP="007447E3">
      <w:pPr>
        <w:spacing w:line="360" w:lineRule="auto"/>
        <w:rPr>
          <w:rFonts w:ascii="Arial" w:hAnsi="Arial" w:cs="Arial"/>
          <w:b/>
          <w:bCs/>
        </w:rPr>
      </w:pPr>
    </w:p>
    <w:p w14:paraId="33BACA27" w14:textId="77777777" w:rsidR="00C2508F" w:rsidRPr="00F1201E" w:rsidRDefault="00C2508F" w:rsidP="007447E3">
      <w:pPr>
        <w:spacing w:line="360" w:lineRule="auto"/>
        <w:rPr>
          <w:rFonts w:ascii="Arial" w:hAnsi="Arial" w:cs="Arial"/>
          <w:b/>
          <w:bCs/>
        </w:rPr>
      </w:pPr>
    </w:p>
    <w:p w14:paraId="7344D46E" w14:textId="77777777" w:rsidR="00C2508F" w:rsidRPr="00F1201E" w:rsidRDefault="00C2508F" w:rsidP="007447E3">
      <w:pPr>
        <w:spacing w:line="360" w:lineRule="auto"/>
        <w:rPr>
          <w:rFonts w:ascii="Arial" w:hAnsi="Arial" w:cs="Arial"/>
          <w:b/>
          <w:bCs/>
        </w:rPr>
      </w:pPr>
    </w:p>
    <w:p w14:paraId="4A5CE44F" w14:textId="18E2E138" w:rsidR="004B75B1" w:rsidRPr="001C6BA3" w:rsidRDefault="00840E7E" w:rsidP="007447E3">
      <w:pPr>
        <w:spacing w:line="360" w:lineRule="auto"/>
        <w:rPr>
          <w:rFonts w:ascii="Arial" w:hAnsi="Arial" w:cs="Arial"/>
          <w:b/>
          <w:bCs/>
          <w:sz w:val="32"/>
          <w:szCs w:val="32"/>
          <w:lang w:val="es-ES"/>
        </w:rPr>
      </w:pPr>
      <w:r w:rsidRPr="00F1201E">
        <w:rPr>
          <w:rFonts w:ascii="Arial" w:hAnsi="Arial" w:cs="Arial"/>
          <w:b/>
          <w:bCs/>
        </w:rPr>
        <w:t xml:space="preserve"> </w:t>
      </w:r>
      <w:r w:rsidR="00FE3E04" w:rsidRPr="001C6BA3">
        <w:rPr>
          <w:rFonts w:ascii="Arial" w:hAnsi="Arial" w:cs="Arial"/>
          <w:b/>
          <w:bCs/>
          <w:sz w:val="32"/>
          <w:szCs w:val="32"/>
          <w:lang w:val="es-ES"/>
        </w:rPr>
        <w:t>Principales Retos</w:t>
      </w:r>
    </w:p>
    <w:p w14:paraId="64279CCA" w14:textId="32AC330E" w:rsidR="003F200B" w:rsidRPr="00F1201E" w:rsidRDefault="00BC6C0B" w:rsidP="007447E3">
      <w:pPr>
        <w:spacing w:line="360" w:lineRule="auto"/>
        <w:rPr>
          <w:rFonts w:ascii="Arial" w:hAnsi="Arial" w:cs="Arial"/>
          <w:b/>
          <w:bCs/>
        </w:rPr>
      </w:pPr>
      <w:r w:rsidRPr="00F1201E">
        <w:rPr>
          <w:rFonts w:ascii="Arial" w:hAnsi="Arial" w:cs="Arial"/>
          <w:noProof/>
        </w:rPr>
        <w:drawing>
          <wp:inline distT="0" distB="0" distL="0" distR="0" wp14:anchorId="132F713D" wp14:editId="6F2D412D">
            <wp:extent cx="5831280" cy="3423683"/>
            <wp:effectExtent l="0" t="0" r="0" b="5715"/>
            <wp:docPr id="3" name="Imagen 2" descr="Diagrama, Texto&#10;&#10;Descripción generada automáticamente">
              <a:extLst xmlns:a="http://schemas.openxmlformats.org/drawingml/2006/main">
                <a:ext uri="{FF2B5EF4-FFF2-40B4-BE49-F238E27FC236}">
                  <a16:creationId xmlns:a16="http://schemas.microsoft.com/office/drawing/2014/main" id="{4083005C-D47B-2DE4-EE4C-FC3F94F711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Diagrama, Texto&#10;&#10;Descripción generada automáticamente">
                      <a:extLst>
                        <a:ext uri="{FF2B5EF4-FFF2-40B4-BE49-F238E27FC236}">
                          <a16:creationId xmlns:a16="http://schemas.microsoft.com/office/drawing/2014/main" id="{4083005C-D47B-2DE4-EE4C-FC3F94F71113}"/>
                        </a:ext>
                      </a:extLst>
                    </pic:cNvPr>
                    <pic:cNvPicPr>
                      <a:picLocks noChangeAspect="1"/>
                    </pic:cNvPicPr>
                  </pic:nvPicPr>
                  <pic:blipFill>
                    <a:blip r:embed="rId6"/>
                    <a:stretch>
                      <a:fillRect/>
                    </a:stretch>
                  </pic:blipFill>
                  <pic:spPr>
                    <a:xfrm>
                      <a:off x="0" y="0"/>
                      <a:ext cx="5836382" cy="3426678"/>
                    </a:xfrm>
                    <a:prstGeom prst="rect">
                      <a:avLst/>
                    </a:prstGeom>
                  </pic:spPr>
                </pic:pic>
              </a:graphicData>
            </a:graphic>
          </wp:inline>
        </w:drawing>
      </w:r>
    </w:p>
    <w:p w14:paraId="38584E79" w14:textId="30F63542" w:rsidR="00CB3C82" w:rsidRPr="00F1201E" w:rsidRDefault="00CB3C82" w:rsidP="007447E3">
      <w:pPr>
        <w:spacing w:line="360" w:lineRule="auto"/>
        <w:rPr>
          <w:rFonts w:ascii="Arial" w:hAnsi="Arial" w:cs="Arial"/>
          <w:b/>
          <w:bCs/>
        </w:rPr>
      </w:pPr>
      <w:r w:rsidRPr="00F1201E">
        <w:rPr>
          <w:rFonts w:ascii="Arial" w:hAnsi="Arial" w:cs="Arial"/>
          <w:b/>
          <w:bCs/>
          <w:noProof/>
        </w:rPr>
        <w:lastRenderedPageBreak/>
        <w:drawing>
          <wp:inline distT="0" distB="0" distL="0" distR="0" wp14:anchorId="03B3E2B7" wp14:editId="4002DEFD">
            <wp:extent cx="5158854" cy="4203065"/>
            <wp:effectExtent l="0" t="0" r="0" b="6985"/>
            <wp:docPr id="363580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7599" cy="4234632"/>
                    </a:xfrm>
                    <a:prstGeom prst="rect">
                      <a:avLst/>
                    </a:prstGeom>
                    <a:noFill/>
                  </pic:spPr>
                </pic:pic>
              </a:graphicData>
            </a:graphic>
          </wp:inline>
        </w:drawing>
      </w:r>
    </w:p>
    <w:p w14:paraId="0166185B" w14:textId="52E6D3FF" w:rsidR="004D5C24" w:rsidRPr="001C6BA3" w:rsidRDefault="0031623F" w:rsidP="007447E3">
      <w:pPr>
        <w:spacing w:line="360" w:lineRule="auto"/>
        <w:rPr>
          <w:rFonts w:ascii="Arial" w:hAnsi="Arial" w:cs="Arial"/>
          <w:b/>
          <w:bCs/>
          <w:sz w:val="32"/>
          <w:szCs w:val="32"/>
        </w:rPr>
      </w:pPr>
      <w:r w:rsidRPr="001C6BA3">
        <w:rPr>
          <w:rFonts w:ascii="Arial" w:hAnsi="Arial" w:cs="Arial"/>
          <w:b/>
          <w:bCs/>
          <w:sz w:val="32"/>
          <w:szCs w:val="32"/>
        </w:rPr>
        <w:t>Reflexiones finales</w:t>
      </w:r>
    </w:p>
    <w:p w14:paraId="7A2953CA" w14:textId="3DD8F70B" w:rsidR="004D5C24" w:rsidRPr="001C6BA3" w:rsidRDefault="004D5C24" w:rsidP="007447E3">
      <w:pPr>
        <w:spacing w:line="360" w:lineRule="auto"/>
        <w:jc w:val="both"/>
        <w:rPr>
          <w:rFonts w:ascii="Arial" w:hAnsi="Arial" w:cs="Arial"/>
          <w:sz w:val="24"/>
          <w:szCs w:val="24"/>
        </w:rPr>
      </w:pPr>
      <w:r w:rsidRPr="001C6BA3">
        <w:rPr>
          <w:rFonts w:ascii="Arial" w:hAnsi="Arial" w:cs="Arial"/>
          <w:sz w:val="24"/>
          <w:szCs w:val="24"/>
        </w:rPr>
        <w:t xml:space="preserve">Para concluir, deseo expresar mi más </w:t>
      </w:r>
      <w:r w:rsidR="00C2508F" w:rsidRPr="001C6BA3">
        <w:rPr>
          <w:rFonts w:ascii="Arial" w:hAnsi="Arial" w:cs="Arial"/>
          <w:sz w:val="24"/>
          <w:szCs w:val="24"/>
        </w:rPr>
        <w:t>profundo</w:t>
      </w:r>
      <w:r w:rsidRPr="001C6BA3">
        <w:rPr>
          <w:rFonts w:ascii="Arial" w:hAnsi="Arial" w:cs="Arial"/>
          <w:sz w:val="24"/>
          <w:szCs w:val="24"/>
        </w:rPr>
        <w:t xml:space="preserve"> agradecimiento a todos y cada uno de ustedes</w:t>
      </w:r>
      <w:r w:rsidR="00C2508F" w:rsidRPr="001C6BA3">
        <w:rPr>
          <w:rFonts w:ascii="Arial" w:hAnsi="Arial" w:cs="Arial"/>
          <w:sz w:val="24"/>
          <w:szCs w:val="24"/>
        </w:rPr>
        <w:t>,</w:t>
      </w:r>
      <w:r w:rsidRPr="001C6BA3">
        <w:rPr>
          <w:rFonts w:ascii="Arial" w:hAnsi="Arial" w:cs="Arial"/>
          <w:sz w:val="24"/>
          <w:szCs w:val="24"/>
        </w:rPr>
        <w:t xml:space="preserve"> a la </w:t>
      </w:r>
      <w:r w:rsidR="00C2508F" w:rsidRPr="001C6BA3">
        <w:rPr>
          <w:rFonts w:ascii="Arial" w:hAnsi="Arial" w:cs="Arial"/>
          <w:sz w:val="24"/>
          <w:szCs w:val="24"/>
        </w:rPr>
        <w:t xml:space="preserve">industria </w:t>
      </w:r>
      <w:r w:rsidRPr="001C6BA3">
        <w:rPr>
          <w:rFonts w:ascii="Arial" w:hAnsi="Arial" w:cs="Arial"/>
          <w:sz w:val="24"/>
          <w:szCs w:val="24"/>
        </w:rPr>
        <w:t>banca</w:t>
      </w:r>
      <w:r w:rsidR="00C2508F" w:rsidRPr="001C6BA3">
        <w:rPr>
          <w:rFonts w:ascii="Arial" w:hAnsi="Arial" w:cs="Arial"/>
          <w:sz w:val="24"/>
          <w:szCs w:val="24"/>
        </w:rPr>
        <w:t>ria</w:t>
      </w:r>
      <w:r w:rsidRPr="001C6BA3">
        <w:rPr>
          <w:rFonts w:ascii="Arial" w:hAnsi="Arial" w:cs="Arial"/>
          <w:sz w:val="24"/>
          <w:szCs w:val="24"/>
        </w:rPr>
        <w:t>, al sector privado, a los gremios</w:t>
      </w:r>
      <w:r w:rsidR="00C2508F" w:rsidRPr="001C6BA3">
        <w:rPr>
          <w:rFonts w:ascii="Arial" w:hAnsi="Arial" w:cs="Arial"/>
          <w:sz w:val="24"/>
          <w:szCs w:val="24"/>
        </w:rPr>
        <w:t xml:space="preserve"> particularmente a la ABP</w:t>
      </w:r>
      <w:r w:rsidRPr="001C6BA3">
        <w:rPr>
          <w:rFonts w:ascii="Arial" w:hAnsi="Arial" w:cs="Arial"/>
          <w:sz w:val="24"/>
          <w:szCs w:val="24"/>
        </w:rPr>
        <w:t xml:space="preserve">, al sector público, </w:t>
      </w:r>
      <w:r w:rsidR="00730673" w:rsidRPr="001C6BA3">
        <w:rPr>
          <w:rFonts w:ascii="Arial" w:hAnsi="Arial" w:cs="Arial"/>
          <w:sz w:val="24"/>
          <w:szCs w:val="24"/>
        </w:rPr>
        <w:t xml:space="preserve">a los medios de comunicación </w:t>
      </w:r>
      <w:r w:rsidRPr="001C6BA3">
        <w:rPr>
          <w:rFonts w:ascii="Arial" w:hAnsi="Arial" w:cs="Arial"/>
          <w:sz w:val="24"/>
          <w:szCs w:val="24"/>
        </w:rPr>
        <w:t>y a todos los que nos han brindado su incondicional apoyo a lo largo de nuestra gestión al frente de la Superintendencia de Bancos de Panamá</w:t>
      </w:r>
      <w:r w:rsidR="00C2508F" w:rsidRPr="001C6BA3">
        <w:rPr>
          <w:rFonts w:ascii="Arial" w:hAnsi="Arial" w:cs="Arial"/>
          <w:sz w:val="24"/>
          <w:szCs w:val="24"/>
        </w:rPr>
        <w:t>.</w:t>
      </w:r>
      <w:r w:rsidRPr="001C6BA3">
        <w:rPr>
          <w:rFonts w:ascii="Arial" w:hAnsi="Arial" w:cs="Arial"/>
          <w:sz w:val="24"/>
          <w:szCs w:val="24"/>
        </w:rPr>
        <w:t xml:space="preserve"> Desde el inicio de nuestra administración, hemos enfatizado la importancia de explorar alternativas y construir consensos que mejoren el desempeño operativo de los bancos y del sector financiero en su conjunto.  Este marco de trabajo nos ha permitido explorar alternativas fuera de los esquemas tradicionales y desarrollar estrategias eficaces que responden a las necesidades complejas de nuestro tiempo y</w:t>
      </w:r>
      <w:r w:rsidR="00C2508F" w:rsidRPr="001C6BA3">
        <w:rPr>
          <w:rFonts w:ascii="Arial" w:hAnsi="Arial" w:cs="Arial"/>
          <w:sz w:val="24"/>
          <w:szCs w:val="24"/>
        </w:rPr>
        <w:t xml:space="preserve"> esto</w:t>
      </w:r>
      <w:r w:rsidRPr="001C6BA3">
        <w:rPr>
          <w:rFonts w:ascii="Arial" w:hAnsi="Arial" w:cs="Arial"/>
          <w:sz w:val="24"/>
          <w:szCs w:val="24"/>
        </w:rPr>
        <w:t xml:space="preserve"> ha sido fundamental para promover una regulación</w:t>
      </w:r>
      <w:r w:rsidR="00C2508F" w:rsidRPr="001C6BA3">
        <w:rPr>
          <w:rFonts w:ascii="Arial" w:hAnsi="Arial" w:cs="Arial"/>
          <w:sz w:val="24"/>
          <w:szCs w:val="24"/>
        </w:rPr>
        <w:t xml:space="preserve"> y supervisión</w:t>
      </w:r>
      <w:r w:rsidRPr="001C6BA3">
        <w:rPr>
          <w:rFonts w:ascii="Arial" w:hAnsi="Arial" w:cs="Arial"/>
          <w:sz w:val="24"/>
          <w:szCs w:val="24"/>
        </w:rPr>
        <w:t xml:space="preserve"> efectiva, esenciales para preservar la estabilidad financiera</w:t>
      </w:r>
      <w:r w:rsidR="00C2508F" w:rsidRPr="001C6BA3">
        <w:rPr>
          <w:rFonts w:ascii="Arial" w:hAnsi="Arial" w:cs="Arial"/>
          <w:sz w:val="24"/>
          <w:szCs w:val="24"/>
        </w:rPr>
        <w:t xml:space="preserve"> del sistema</w:t>
      </w:r>
      <w:r w:rsidRPr="001C6BA3">
        <w:rPr>
          <w:rFonts w:ascii="Arial" w:hAnsi="Arial" w:cs="Arial"/>
          <w:sz w:val="24"/>
          <w:szCs w:val="24"/>
        </w:rPr>
        <w:t>.</w:t>
      </w:r>
    </w:p>
    <w:p w14:paraId="3C297266" w14:textId="318CA142" w:rsidR="004D5C24" w:rsidRPr="001C6BA3" w:rsidRDefault="004D5C24" w:rsidP="007447E3">
      <w:pPr>
        <w:spacing w:line="360" w:lineRule="auto"/>
        <w:jc w:val="both"/>
        <w:rPr>
          <w:rFonts w:ascii="Arial" w:hAnsi="Arial" w:cs="Arial"/>
          <w:sz w:val="24"/>
          <w:szCs w:val="24"/>
        </w:rPr>
      </w:pPr>
      <w:r w:rsidRPr="001C6BA3">
        <w:rPr>
          <w:rFonts w:ascii="Arial" w:hAnsi="Arial" w:cs="Arial"/>
          <w:sz w:val="24"/>
          <w:szCs w:val="24"/>
        </w:rPr>
        <w:lastRenderedPageBreak/>
        <w:t xml:space="preserve">Para nosotros, este compromiso trascendió las palabras para convertirse en un eje central de nuestra actuación. Hemos fomentado una cultura de innovación y </w:t>
      </w:r>
      <w:r w:rsidR="00730673" w:rsidRPr="001C6BA3">
        <w:rPr>
          <w:rFonts w:ascii="Arial" w:hAnsi="Arial" w:cs="Arial"/>
          <w:sz w:val="24"/>
          <w:szCs w:val="24"/>
        </w:rPr>
        <w:t xml:space="preserve">trabajo </w:t>
      </w:r>
      <w:r w:rsidRPr="001C6BA3">
        <w:rPr>
          <w:rFonts w:ascii="Arial" w:hAnsi="Arial" w:cs="Arial"/>
          <w:sz w:val="24"/>
          <w:szCs w:val="24"/>
        </w:rPr>
        <w:t>colabora</w:t>
      </w:r>
      <w:r w:rsidR="00730673" w:rsidRPr="001C6BA3">
        <w:rPr>
          <w:rFonts w:ascii="Arial" w:hAnsi="Arial" w:cs="Arial"/>
          <w:sz w:val="24"/>
          <w:szCs w:val="24"/>
        </w:rPr>
        <w:t>tivo</w:t>
      </w:r>
      <w:r w:rsidRPr="001C6BA3">
        <w:rPr>
          <w:rFonts w:ascii="Arial" w:hAnsi="Arial" w:cs="Arial"/>
          <w:sz w:val="24"/>
          <w:szCs w:val="24"/>
        </w:rPr>
        <w:t>, donde el pensamiento creativo y las perspectivas novedosas han sido ampliamente incorporadas.  De igual modo, nuestro enfoque ha demostrado no solo nuestra determinación para aumentar la resiliencia y la responsabilidad de las entidades financieras, sino que también hemos promovido activamente la adopción de cambios significativos, comprometiéndonos con la sostenibilidad frente a los retos medioambientales y económicos actuales y futuros. La importancia de estos elementos para el desarrollo económico</w:t>
      </w:r>
      <w:r w:rsidR="0045358B" w:rsidRPr="001C6BA3">
        <w:rPr>
          <w:rFonts w:ascii="Arial" w:hAnsi="Arial" w:cs="Arial"/>
          <w:sz w:val="24"/>
          <w:szCs w:val="24"/>
        </w:rPr>
        <w:t xml:space="preserve"> y social</w:t>
      </w:r>
      <w:r w:rsidRPr="001C6BA3">
        <w:rPr>
          <w:rFonts w:ascii="Arial" w:hAnsi="Arial" w:cs="Arial"/>
          <w:sz w:val="24"/>
          <w:szCs w:val="24"/>
        </w:rPr>
        <w:t xml:space="preserve"> del país es para mí</w:t>
      </w:r>
      <w:r w:rsidR="0045358B" w:rsidRPr="001C6BA3">
        <w:rPr>
          <w:rFonts w:ascii="Arial" w:hAnsi="Arial" w:cs="Arial"/>
          <w:sz w:val="24"/>
          <w:szCs w:val="24"/>
        </w:rPr>
        <w:t xml:space="preserve"> y espero que para ustedes</w:t>
      </w:r>
      <w:r w:rsidRPr="001C6BA3">
        <w:rPr>
          <w:rFonts w:ascii="Arial" w:hAnsi="Arial" w:cs="Arial"/>
          <w:sz w:val="24"/>
          <w:szCs w:val="24"/>
        </w:rPr>
        <w:t>, un compromiso i</w:t>
      </w:r>
      <w:r w:rsidR="0045358B" w:rsidRPr="001C6BA3">
        <w:rPr>
          <w:rFonts w:ascii="Arial" w:hAnsi="Arial" w:cs="Arial"/>
          <w:sz w:val="24"/>
          <w:szCs w:val="24"/>
        </w:rPr>
        <w:t>neludible</w:t>
      </w:r>
      <w:r w:rsidRPr="001C6BA3">
        <w:rPr>
          <w:rFonts w:ascii="Arial" w:hAnsi="Arial" w:cs="Arial"/>
          <w:sz w:val="24"/>
          <w:szCs w:val="24"/>
        </w:rPr>
        <w:t>.</w:t>
      </w:r>
    </w:p>
    <w:p w14:paraId="063ED253" w14:textId="3CD73839" w:rsidR="004D5C24" w:rsidRPr="001C6BA3" w:rsidRDefault="004D5C24" w:rsidP="007447E3">
      <w:pPr>
        <w:spacing w:line="360" w:lineRule="auto"/>
        <w:jc w:val="both"/>
        <w:rPr>
          <w:rFonts w:ascii="Arial" w:hAnsi="Arial" w:cs="Arial"/>
          <w:sz w:val="24"/>
          <w:szCs w:val="24"/>
        </w:rPr>
      </w:pPr>
      <w:r w:rsidRPr="001C6BA3">
        <w:rPr>
          <w:rFonts w:ascii="Arial" w:hAnsi="Arial" w:cs="Arial"/>
          <w:sz w:val="24"/>
          <w:szCs w:val="24"/>
        </w:rPr>
        <w:t>No puedo dejar de mencionar que todo este trabajo no habría sido posible sin el esfuerzo conjunto de todo el equipo</w:t>
      </w:r>
      <w:r w:rsidR="00771193" w:rsidRPr="001C6BA3">
        <w:rPr>
          <w:rFonts w:ascii="Arial" w:hAnsi="Arial" w:cs="Arial"/>
          <w:sz w:val="24"/>
          <w:szCs w:val="24"/>
        </w:rPr>
        <w:t xml:space="preserve"> humano</w:t>
      </w:r>
      <w:r w:rsidRPr="001C6BA3">
        <w:rPr>
          <w:rFonts w:ascii="Arial" w:hAnsi="Arial" w:cs="Arial"/>
          <w:sz w:val="24"/>
          <w:szCs w:val="24"/>
        </w:rPr>
        <w:t xml:space="preserve"> de la Superintendencia</w:t>
      </w:r>
      <w:r w:rsidR="00771193" w:rsidRPr="001C6BA3">
        <w:rPr>
          <w:rFonts w:ascii="Arial" w:hAnsi="Arial" w:cs="Arial"/>
          <w:sz w:val="24"/>
          <w:szCs w:val="24"/>
        </w:rPr>
        <w:t>… de la gente</w:t>
      </w:r>
      <w:r w:rsidR="00803920" w:rsidRPr="001C6BA3">
        <w:rPr>
          <w:rFonts w:ascii="Arial" w:hAnsi="Arial" w:cs="Arial"/>
          <w:sz w:val="24"/>
          <w:szCs w:val="24"/>
        </w:rPr>
        <w:t xml:space="preserve"> que me ha acompañado</w:t>
      </w:r>
      <w:r w:rsidRPr="001C6BA3">
        <w:rPr>
          <w:rFonts w:ascii="Arial" w:hAnsi="Arial" w:cs="Arial"/>
          <w:sz w:val="24"/>
          <w:szCs w:val="24"/>
        </w:rPr>
        <w:t>, cuya dedicación y talento han sido fundamentales en cada paso del camino. Mirando hacia el futuro, se debería continuar cultivando este enfoque innovador, comprometidos siempre con la excelencia y la búsqueda constante de superar las expectativas, asegurando así el bienestar financiero de Panamá y el fortalecimiento de su sector bancario.</w:t>
      </w:r>
    </w:p>
    <w:p w14:paraId="68BDDAD5" w14:textId="37664C24" w:rsidR="009845E7" w:rsidRPr="001C6BA3" w:rsidRDefault="00771193" w:rsidP="007447E3">
      <w:pPr>
        <w:spacing w:line="360" w:lineRule="auto"/>
        <w:jc w:val="both"/>
        <w:rPr>
          <w:rFonts w:ascii="Arial" w:hAnsi="Arial" w:cs="Arial"/>
          <w:sz w:val="24"/>
          <w:szCs w:val="24"/>
        </w:rPr>
      </w:pPr>
      <w:r w:rsidRPr="001C6BA3">
        <w:rPr>
          <w:rFonts w:ascii="Arial" w:hAnsi="Arial" w:cs="Arial"/>
          <w:sz w:val="24"/>
          <w:szCs w:val="24"/>
        </w:rPr>
        <w:t>La ocasión es propicia para a</w:t>
      </w:r>
      <w:r w:rsidR="009845E7" w:rsidRPr="001C6BA3">
        <w:rPr>
          <w:rFonts w:ascii="Arial" w:hAnsi="Arial" w:cs="Arial"/>
          <w:sz w:val="24"/>
          <w:szCs w:val="24"/>
        </w:rPr>
        <w:t>grade</w:t>
      </w:r>
      <w:r w:rsidRPr="001C6BA3">
        <w:rPr>
          <w:rFonts w:ascii="Arial" w:hAnsi="Arial" w:cs="Arial"/>
          <w:sz w:val="24"/>
          <w:szCs w:val="24"/>
        </w:rPr>
        <w:t>cer</w:t>
      </w:r>
      <w:r w:rsidR="009845E7" w:rsidRPr="001C6BA3">
        <w:rPr>
          <w:rFonts w:ascii="Arial" w:hAnsi="Arial" w:cs="Arial"/>
          <w:sz w:val="24"/>
          <w:szCs w:val="24"/>
        </w:rPr>
        <w:t xml:space="preserve"> profundamente al President</w:t>
      </w:r>
      <w:r w:rsidR="00AC6620" w:rsidRPr="001C6BA3">
        <w:rPr>
          <w:rFonts w:ascii="Arial" w:hAnsi="Arial" w:cs="Arial"/>
          <w:sz w:val="24"/>
          <w:szCs w:val="24"/>
        </w:rPr>
        <w:t>e</w:t>
      </w:r>
      <w:r w:rsidR="009845E7" w:rsidRPr="001C6BA3">
        <w:rPr>
          <w:rFonts w:ascii="Arial" w:hAnsi="Arial" w:cs="Arial"/>
          <w:sz w:val="24"/>
          <w:szCs w:val="24"/>
        </w:rPr>
        <w:t xml:space="preserve"> Laurentino Cortizo Cohen por la oportunidad de servirle al país, nuevamente con la responsabilidad que </w:t>
      </w:r>
      <w:r w:rsidRPr="001C6BA3">
        <w:rPr>
          <w:rFonts w:ascii="Arial" w:hAnsi="Arial" w:cs="Arial"/>
          <w:sz w:val="24"/>
          <w:szCs w:val="24"/>
        </w:rPr>
        <w:t>el cargo</w:t>
      </w:r>
      <w:r w:rsidR="009845E7" w:rsidRPr="001C6BA3">
        <w:rPr>
          <w:rFonts w:ascii="Arial" w:hAnsi="Arial" w:cs="Arial"/>
          <w:sz w:val="24"/>
          <w:szCs w:val="24"/>
        </w:rPr>
        <w:t xml:space="preserve"> y el sector</w:t>
      </w:r>
      <w:r w:rsidR="007148FA" w:rsidRPr="001C6BA3">
        <w:rPr>
          <w:rFonts w:ascii="Arial" w:hAnsi="Arial" w:cs="Arial"/>
          <w:sz w:val="24"/>
          <w:szCs w:val="24"/>
        </w:rPr>
        <w:t xml:space="preserve"> bancario</w:t>
      </w:r>
      <w:r w:rsidR="009845E7" w:rsidRPr="001C6BA3">
        <w:rPr>
          <w:rFonts w:ascii="Arial" w:hAnsi="Arial" w:cs="Arial"/>
          <w:sz w:val="24"/>
          <w:szCs w:val="24"/>
        </w:rPr>
        <w:t xml:space="preserve"> requiere. Fue un camino lleno de enseñanzas y aprendizaje, en compañía de quienes compartimos una misma visión de</w:t>
      </w:r>
      <w:r w:rsidR="00803920" w:rsidRPr="001C6BA3">
        <w:rPr>
          <w:rFonts w:ascii="Arial" w:hAnsi="Arial" w:cs="Arial"/>
          <w:sz w:val="24"/>
          <w:szCs w:val="24"/>
        </w:rPr>
        <w:t xml:space="preserve"> un</w:t>
      </w:r>
      <w:r w:rsidR="009845E7" w:rsidRPr="001C6BA3">
        <w:rPr>
          <w:rFonts w:ascii="Arial" w:hAnsi="Arial" w:cs="Arial"/>
          <w:sz w:val="24"/>
          <w:szCs w:val="24"/>
        </w:rPr>
        <w:t xml:space="preserve"> sector financiero más innovador, </w:t>
      </w:r>
      <w:r w:rsidRPr="001C6BA3">
        <w:rPr>
          <w:rFonts w:ascii="Arial" w:hAnsi="Arial" w:cs="Arial"/>
          <w:sz w:val="24"/>
          <w:szCs w:val="24"/>
        </w:rPr>
        <w:t xml:space="preserve">fuerte, </w:t>
      </w:r>
      <w:r w:rsidR="009845E7" w:rsidRPr="001C6BA3">
        <w:rPr>
          <w:rFonts w:ascii="Arial" w:hAnsi="Arial" w:cs="Arial"/>
          <w:sz w:val="24"/>
          <w:szCs w:val="24"/>
        </w:rPr>
        <w:t>solido, estable, sostenible y competitivo. Afortunadamente, aún hay mucho camino por recorrer.</w:t>
      </w:r>
    </w:p>
    <w:p w14:paraId="225A47BE" w14:textId="5FD5676C" w:rsidR="004D5C24" w:rsidRPr="001C6BA3" w:rsidRDefault="004D5C24" w:rsidP="007447E3">
      <w:pPr>
        <w:spacing w:line="360" w:lineRule="auto"/>
        <w:jc w:val="both"/>
        <w:rPr>
          <w:rFonts w:ascii="Arial" w:hAnsi="Arial" w:cs="Arial"/>
          <w:sz w:val="24"/>
          <w:szCs w:val="24"/>
        </w:rPr>
      </w:pPr>
      <w:r w:rsidRPr="001C6BA3">
        <w:rPr>
          <w:rFonts w:ascii="Arial" w:hAnsi="Arial" w:cs="Arial"/>
          <w:sz w:val="24"/>
          <w:szCs w:val="24"/>
        </w:rPr>
        <w:t xml:space="preserve">A pesar de que los actores en el escenario puedan cambiar, es crucial </w:t>
      </w:r>
      <w:r w:rsidR="00DD16E8" w:rsidRPr="001C6BA3">
        <w:rPr>
          <w:rFonts w:ascii="Arial" w:hAnsi="Arial" w:cs="Arial"/>
          <w:sz w:val="24"/>
          <w:szCs w:val="24"/>
        </w:rPr>
        <w:t>continuar</w:t>
      </w:r>
      <w:r w:rsidRPr="001C6BA3">
        <w:rPr>
          <w:rFonts w:ascii="Arial" w:hAnsi="Arial" w:cs="Arial"/>
          <w:sz w:val="24"/>
          <w:szCs w:val="24"/>
        </w:rPr>
        <w:t xml:space="preserve"> </w:t>
      </w:r>
      <w:r w:rsidR="000B16B9" w:rsidRPr="001C6BA3">
        <w:rPr>
          <w:rFonts w:ascii="Arial" w:hAnsi="Arial" w:cs="Arial"/>
          <w:sz w:val="24"/>
          <w:szCs w:val="24"/>
        </w:rPr>
        <w:t>fortaleciendo</w:t>
      </w:r>
      <w:r w:rsidR="00803920" w:rsidRPr="001C6BA3">
        <w:rPr>
          <w:rFonts w:ascii="Arial" w:hAnsi="Arial" w:cs="Arial"/>
          <w:sz w:val="24"/>
          <w:szCs w:val="24"/>
        </w:rPr>
        <w:t xml:space="preserve"> a</w:t>
      </w:r>
      <w:r w:rsidRPr="001C6BA3">
        <w:rPr>
          <w:rFonts w:ascii="Arial" w:hAnsi="Arial" w:cs="Arial"/>
          <w:sz w:val="24"/>
          <w:szCs w:val="24"/>
        </w:rPr>
        <w:t xml:space="preserve"> la SBP, </w:t>
      </w:r>
      <w:r w:rsidR="00560849" w:rsidRPr="001C6BA3">
        <w:rPr>
          <w:rFonts w:ascii="Arial" w:hAnsi="Arial" w:cs="Arial"/>
          <w:sz w:val="24"/>
          <w:szCs w:val="24"/>
        </w:rPr>
        <w:t>manteniendo la institucionalidad</w:t>
      </w:r>
      <w:r w:rsidR="00803920" w:rsidRPr="001C6BA3">
        <w:rPr>
          <w:rFonts w:ascii="Arial" w:hAnsi="Arial" w:cs="Arial"/>
          <w:sz w:val="24"/>
          <w:szCs w:val="24"/>
        </w:rPr>
        <w:t xml:space="preserve"> profesional y técnica,</w:t>
      </w:r>
      <w:r w:rsidR="00560849" w:rsidRPr="001C6BA3">
        <w:rPr>
          <w:rFonts w:ascii="Arial" w:hAnsi="Arial" w:cs="Arial"/>
          <w:sz w:val="24"/>
          <w:szCs w:val="24"/>
        </w:rPr>
        <w:t xml:space="preserve"> </w:t>
      </w:r>
      <w:r w:rsidRPr="001C6BA3">
        <w:rPr>
          <w:rFonts w:ascii="Arial" w:hAnsi="Arial" w:cs="Arial"/>
          <w:sz w:val="24"/>
          <w:szCs w:val="24"/>
        </w:rPr>
        <w:t>elevándola</w:t>
      </w:r>
      <w:r w:rsidR="00803920" w:rsidRPr="001C6BA3">
        <w:rPr>
          <w:rFonts w:ascii="Arial" w:hAnsi="Arial" w:cs="Arial"/>
          <w:sz w:val="24"/>
          <w:szCs w:val="24"/>
        </w:rPr>
        <w:t xml:space="preserve"> cada vez más</w:t>
      </w:r>
      <w:r w:rsidRPr="001C6BA3">
        <w:rPr>
          <w:rFonts w:ascii="Arial" w:hAnsi="Arial" w:cs="Arial"/>
          <w:sz w:val="24"/>
          <w:szCs w:val="24"/>
        </w:rPr>
        <w:t xml:space="preserve"> a altos estándares</w:t>
      </w:r>
      <w:r w:rsidR="00803920" w:rsidRPr="001C6BA3">
        <w:rPr>
          <w:rFonts w:ascii="Arial" w:hAnsi="Arial" w:cs="Arial"/>
          <w:sz w:val="24"/>
          <w:szCs w:val="24"/>
        </w:rPr>
        <w:t xml:space="preserve"> de</w:t>
      </w:r>
      <w:r w:rsidRPr="001C6BA3">
        <w:rPr>
          <w:rFonts w:ascii="Arial" w:hAnsi="Arial" w:cs="Arial"/>
          <w:sz w:val="24"/>
          <w:szCs w:val="24"/>
        </w:rPr>
        <w:t xml:space="preserve"> </w:t>
      </w:r>
      <w:r w:rsidR="00803920" w:rsidRPr="001C6BA3">
        <w:rPr>
          <w:rFonts w:ascii="Arial" w:hAnsi="Arial" w:cs="Arial"/>
          <w:sz w:val="24"/>
          <w:szCs w:val="24"/>
        </w:rPr>
        <w:t>regulación</w:t>
      </w:r>
      <w:r w:rsidRPr="001C6BA3">
        <w:rPr>
          <w:rFonts w:ascii="Arial" w:hAnsi="Arial" w:cs="Arial"/>
          <w:sz w:val="24"/>
          <w:szCs w:val="24"/>
        </w:rPr>
        <w:t xml:space="preserve"> y de supervisión </w:t>
      </w:r>
      <w:r w:rsidR="00730673" w:rsidRPr="001C6BA3">
        <w:rPr>
          <w:rFonts w:ascii="Arial" w:hAnsi="Arial" w:cs="Arial"/>
          <w:sz w:val="24"/>
          <w:szCs w:val="24"/>
        </w:rPr>
        <w:t>prudencial</w:t>
      </w:r>
      <w:r w:rsidRPr="001C6BA3">
        <w:rPr>
          <w:rFonts w:ascii="Arial" w:hAnsi="Arial" w:cs="Arial"/>
          <w:sz w:val="24"/>
          <w:szCs w:val="24"/>
        </w:rPr>
        <w:t xml:space="preserve"> compar</w:t>
      </w:r>
      <w:r w:rsidR="00803920" w:rsidRPr="001C6BA3">
        <w:rPr>
          <w:rFonts w:ascii="Arial" w:hAnsi="Arial" w:cs="Arial"/>
          <w:sz w:val="24"/>
          <w:szCs w:val="24"/>
        </w:rPr>
        <w:t>ándola</w:t>
      </w:r>
      <w:r w:rsidR="00771193" w:rsidRPr="001C6BA3">
        <w:rPr>
          <w:rFonts w:ascii="Arial" w:hAnsi="Arial" w:cs="Arial"/>
          <w:sz w:val="24"/>
          <w:szCs w:val="24"/>
        </w:rPr>
        <w:t xml:space="preserve"> siempre</w:t>
      </w:r>
      <w:r w:rsidRPr="001C6BA3">
        <w:rPr>
          <w:rFonts w:ascii="Arial" w:hAnsi="Arial" w:cs="Arial"/>
          <w:sz w:val="24"/>
          <w:szCs w:val="24"/>
        </w:rPr>
        <w:t xml:space="preserve"> con sus pares regionales</w:t>
      </w:r>
      <w:r w:rsidR="00803920" w:rsidRPr="001C6BA3">
        <w:rPr>
          <w:rFonts w:ascii="Arial" w:hAnsi="Arial" w:cs="Arial"/>
          <w:sz w:val="24"/>
          <w:szCs w:val="24"/>
        </w:rPr>
        <w:t xml:space="preserve"> y globales</w:t>
      </w:r>
      <w:r w:rsidRPr="001C6BA3">
        <w:rPr>
          <w:rFonts w:ascii="Arial" w:hAnsi="Arial" w:cs="Arial"/>
          <w:sz w:val="24"/>
          <w:szCs w:val="24"/>
        </w:rPr>
        <w:t>. Hoy, más que nunca, es esencial que todos continuemos en este camino. Por ello, los invito a renovar y reforzar nuestro compromiso con la estabilidad</w:t>
      </w:r>
      <w:r w:rsidR="00F93B5A" w:rsidRPr="001C6BA3">
        <w:rPr>
          <w:rFonts w:ascii="Arial" w:hAnsi="Arial" w:cs="Arial"/>
          <w:sz w:val="24"/>
          <w:szCs w:val="24"/>
        </w:rPr>
        <w:t xml:space="preserve">, </w:t>
      </w:r>
      <w:r w:rsidR="007148FA" w:rsidRPr="001C6BA3">
        <w:rPr>
          <w:rFonts w:ascii="Arial" w:hAnsi="Arial" w:cs="Arial"/>
          <w:sz w:val="24"/>
          <w:szCs w:val="24"/>
        </w:rPr>
        <w:t xml:space="preserve">la </w:t>
      </w:r>
      <w:r w:rsidRPr="001C6BA3">
        <w:rPr>
          <w:rFonts w:ascii="Arial" w:hAnsi="Arial" w:cs="Arial"/>
          <w:sz w:val="24"/>
          <w:szCs w:val="24"/>
        </w:rPr>
        <w:t xml:space="preserve">sostenibilidad </w:t>
      </w:r>
      <w:r w:rsidR="002D2871" w:rsidRPr="001C6BA3">
        <w:rPr>
          <w:rFonts w:ascii="Arial" w:hAnsi="Arial" w:cs="Arial"/>
          <w:sz w:val="24"/>
          <w:szCs w:val="24"/>
        </w:rPr>
        <w:lastRenderedPageBreak/>
        <w:t>financiera</w:t>
      </w:r>
      <w:r w:rsidR="00F93B5A" w:rsidRPr="001C6BA3">
        <w:rPr>
          <w:rFonts w:ascii="Arial" w:hAnsi="Arial" w:cs="Arial"/>
          <w:sz w:val="24"/>
          <w:szCs w:val="24"/>
        </w:rPr>
        <w:t xml:space="preserve"> </w:t>
      </w:r>
      <w:r w:rsidR="007148FA" w:rsidRPr="001C6BA3">
        <w:rPr>
          <w:rFonts w:ascii="Arial" w:hAnsi="Arial" w:cs="Arial"/>
          <w:sz w:val="24"/>
          <w:szCs w:val="24"/>
        </w:rPr>
        <w:t>y la</w:t>
      </w:r>
      <w:r w:rsidR="00F93B5A" w:rsidRPr="001C6BA3">
        <w:rPr>
          <w:rFonts w:ascii="Arial" w:hAnsi="Arial" w:cs="Arial"/>
          <w:sz w:val="24"/>
          <w:szCs w:val="24"/>
        </w:rPr>
        <w:t xml:space="preserve"> </w:t>
      </w:r>
      <w:r w:rsidR="00906414" w:rsidRPr="001C6BA3">
        <w:rPr>
          <w:rFonts w:ascii="Arial" w:hAnsi="Arial" w:cs="Arial"/>
          <w:sz w:val="24"/>
          <w:szCs w:val="24"/>
        </w:rPr>
        <w:t xml:space="preserve">innovación; </w:t>
      </w:r>
      <w:r w:rsidRPr="001C6BA3">
        <w:rPr>
          <w:rFonts w:ascii="Arial" w:hAnsi="Arial" w:cs="Arial"/>
          <w:sz w:val="24"/>
          <w:szCs w:val="24"/>
        </w:rPr>
        <w:t xml:space="preserve">pilares fundamentales para el progreso y bienestar de Panamá y su </w:t>
      </w:r>
      <w:r w:rsidR="00730673" w:rsidRPr="001C6BA3">
        <w:rPr>
          <w:rFonts w:ascii="Arial" w:hAnsi="Arial" w:cs="Arial"/>
          <w:sz w:val="24"/>
          <w:szCs w:val="24"/>
        </w:rPr>
        <w:t>centro bancario y</w:t>
      </w:r>
      <w:r w:rsidRPr="001C6BA3">
        <w:rPr>
          <w:rFonts w:ascii="Arial" w:hAnsi="Arial" w:cs="Arial"/>
          <w:sz w:val="24"/>
          <w:szCs w:val="24"/>
        </w:rPr>
        <w:t xml:space="preserve"> financiero.</w:t>
      </w:r>
    </w:p>
    <w:p w14:paraId="4BAF0035" w14:textId="3FE8FE77" w:rsidR="009F0060" w:rsidRPr="001C6BA3" w:rsidRDefault="00B50295" w:rsidP="009F0060">
      <w:pPr>
        <w:spacing w:line="360" w:lineRule="auto"/>
        <w:jc w:val="both"/>
        <w:rPr>
          <w:rFonts w:ascii="Arial" w:hAnsi="Arial" w:cs="Arial"/>
          <w:sz w:val="24"/>
          <w:szCs w:val="24"/>
        </w:rPr>
      </w:pPr>
      <w:r w:rsidRPr="001C6BA3">
        <w:rPr>
          <w:rFonts w:ascii="Arial" w:hAnsi="Arial" w:cs="Arial"/>
          <w:sz w:val="24"/>
          <w:szCs w:val="24"/>
        </w:rPr>
        <w:t>Finalmente, y</w:t>
      </w:r>
      <w:r w:rsidR="007148FA" w:rsidRPr="001C6BA3">
        <w:rPr>
          <w:rFonts w:ascii="Arial" w:hAnsi="Arial" w:cs="Arial"/>
          <w:sz w:val="24"/>
          <w:szCs w:val="24"/>
        </w:rPr>
        <w:t xml:space="preserve"> para dar </w:t>
      </w:r>
      <w:r w:rsidR="000F711D" w:rsidRPr="001C6BA3">
        <w:rPr>
          <w:rFonts w:ascii="Arial" w:hAnsi="Arial" w:cs="Arial"/>
          <w:sz w:val="24"/>
          <w:szCs w:val="24"/>
        </w:rPr>
        <w:t>paso</w:t>
      </w:r>
      <w:r w:rsidR="007148FA" w:rsidRPr="001C6BA3">
        <w:rPr>
          <w:rFonts w:ascii="Arial" w:hAnsi="Arial" w:cs="Arial"/>
          <w:sz w:val="24"/>
          <w:szCs w:val="24"/>
        </w:rPr>
        <w:t xml:space="preserve"> a la agenda del día de hoy</w:t>
      </w:r>
      <w:r w:rsidR="00771193" w:rsidRPr="001C6BA3">
        <w:rPr>
          <w:rFonts w:ascii="Arial" w:hAnsi="Arial" w:cs="Arial"/>
          <w:sz w:val="24"/>
          <w:szCs w:val="24"/>
        </w:rPr>
        <w:t xml:space="preserve"> </w:t>
      </w:r>
      <w:r w:rsidR="004C6790" w:rsidRPr="001C6BA3">
        <w:rPr>
          <w:rFonts w:ascii="Arial" w:hAnsi="Arial" w:cs="Arial"/>
          <w:sz w:val="24"/>
          <w:szCs w:val="24"/>
        </w:rPr>
        <w:t xml:space="preserve">hemos considerado relevante </w:t>
      </w:r>
      <w:r w:rsidR="00771193" w:rsidRPr="001C6BA3">
        <w:rPr>
          <w:rFonts w:ascii="Arial" w:hAnsi="Arial" w:cs="Arial"/>
          <w:sz w:val="24"/>
          <w:szCs w:val="24"/>
        </w:rPr>
        <w:t>abordar un tema que ha quedado pendiente</w:t>
      </w:r>
      <w:r w:rsidR="004C6790" w:rsidRPr="001C6BA3">
        <w:rPr>
          <w:rFonts w:ascii="Arial" w:hAnsi="Arial" w:cs="Arial"/>
          <w:sz w:val="24"/>
          <w:szCs w:val="24"/>
        </w:rPr>
        <w:t>,</w:t>
      </w:r>
      <w:r w:rsidR="00771193" w:rsidRPr="001C6BA3">
        <w:rPr>
          <w:rFonts w:ascii="Arial" w:hAnsi="Arial" w:cs="Arial"/>
          <w:sz w:val="24"/>
          <w:szCs w:val="24"/>
        </w:rPr>
        <w:t xml:space="preserve"> pero que debe ser a</w:t>
      </w:r>
      <w:r w:rsidR="004C6790" w:rsidRPr="001C6BA3">
        <w:rPr>
          <w:rFonts w:ascii="Arial" w:hAnsi="Arial" w:cs="Arial"/>
          <w:sz w:val="24"/>
          <w:szCs w:val="24"/>
        </w:rPr>
        <w:t>tendido</w:t>
      </w:r>
      <w:r w:rsidR="00771193" w:rsidRPr="001C6BA3">
        <w:rPr>
          <w:rFonts w:ascii="Arial" w:hAnsi="Arial" w:cs="Arial"/>
          <w:sz w:val="24"/>
          <w:szCs w:val="24"/>
        </w:rPr>
        <w:t xml:space="preserve"> con prioridad</w:t>
      </w:r>
      <w:r w:rsidR="009F0060" w:rsidRPr="001C6BA3">
        <w:rPr>
          <w:rFonts w:ascii="Arial" w:hAnsi="Arial" w:cs="Arial"/>
          <w:sz w:val="24"/>
          <w:szCs w:val="24"/>
        </w:rPr>
        <w:t xml:space="preserve">, </w:t>
      </w:r>
      <w:r w:rsidR="00771193" w:rsidRPr="001C6BA3">
        <w:rPr>
          <w:rFonts w:ascii="Arial" w:hAnsi="Arial" w:cs="Arial"/>
          <w:sz w:val="24"/>
          <w:szCs w:val="24"/>
        </w:rPr>
        <w:t>y es</w:t>
      </w:r>
      <w:r w:rsidR="009F0060" w:rsidRPr="001C6BA3">
        <w:rPr>
          <w:rFonts w:ascii="Arial" w:hAnsi="Arial" w:cs="Arial"/>
          <w:sz w:val="24"/>
          <w:szCs w:val="24"/>
        </w:rPr>
        <w:t xml:space="preserve"> la importancia de contar con</w:t>
      </w:r>
      <w:r w:rsidRPr="001C6BA3">
        <w:rPr>
          <w:rFonts w:ascii="Arial" w:hAnsi="Arial" w:cs="Arial"/>
          <w:sz w:val="24"/>
          <w:szCs w:val="24"/>
        </w:rPr>
        <w:t xml:space="preserve"> un marco legal para</w:t>
      </w:r>
      <w:r w:rsidR="00771193" w:rsidRPr="001C6BA3">
        <w:rPr>
          <w:rFonts w:ascii="Arial" w:hAnsi="Arial" w:cs="Arial"/>
          <w:sz w:val="24"/>
          <w:szCs w:val="24"/>
        </w:rPr>
        <w:t xml:space="preserve"> el establecimiento de</w:t>
      </w:r>
      <w:r w:rsidR="00B718EC" w:rsidRPr="001C6BA3">
        <w:rPr>
          <w:rFonts w:ascii="Arial" w:hAnsi="Arial" w:cs="Arial"/>
          <w:sz w:val="24"/>
          <w:szCs w:val="24"/>
        </w:rPr>
        <w:t xml:space="preserve"> </w:t>
      </w:r>
      <w:r w:rsidR="00765777" w:rsidRPr="001C6BA3">
        <w:rPr>
          <w:rFonts w:ascii="Arial" w:hAnsi="Arial" w:cs="Arial"/>
          <w:sz w:val="24"/>
          <w:szCs w:val="24"/>
        </w:rPr>
        <w:t>un</w:t>
      </w:r>
      <w:r w:rsidRPr="001C6BA3">
        <w:rPr>
          <w:rFonts w:ascii="Arial" w:hAnsi="Arial" w:cs="Arial"/>
          <w:sz w:val="24"/>
          <w:szCs w:val="24"/>
        </w:rPr>
        <w:t xml:space="preserve"> </w:t>
      </w:r>
      <w:r w:rsidR="00765777" w:rsidRPr="001C6BA3">
        <w:rPr>
          <w:rFonts w:ascii="Arial" w:hAnsi="Arial" w:cs="Arial"/>
          <w:sz w:val="24"/>
          <w:szCs w:val="24"/>
        </w:rPr>
        <w:t>sistema</w:t>
      </w:r>
      <w:r w:rsidR="007148FA" w:rsidRPr="001C6BA3">
        <w:rPr>
          <w:rFonts w:ascii="Arial" w:hAnsi="Arial" w:cs="Arial"/>
          <w:sz w:val="24"/>
          <w:szCs w:val="24"/>
        </w:rPr>
        <w:t xml:space="preserve"> nacional</w:t>
      </w:r>
      <w:r w:rsidR="009F0060" w:rsidRPr="001C6BA3">
        <w:rPr>
          <w:rFonts w:ascii="Arial" w:hAnsi="Arial" w:cs="Arial"/>
          <w:sz w:val="24"/>
          <w:szCs w:val="24"/>
        </w:rPr>
        <w:t xml:space="preserve"> de pagos</w:t>
      </w:r>
      <w:r w:rsidR="004C6790" w:rsidRPr="001C6BA3">
        <w:rPr>
          <w:rFonts w:ascii="Arial" w:hAnsi="Arial" w:cs="Arial"/>
          <w:sz w:val="24"/>
          <w:szCs w:val="24"/>
        </w:rPr>
        <w:t xml:space="preserve"> </w:t>
      </w:r>
      <w:r w:rsidR="009F0060" w:rsidRPr="001C6BA3">
        <w:rPr>
          <w:rFonts w:ascii="Arial" w:hAnsi="Arial" w:cs="Arial"/>
          <w:sz w:val="24"/>
          <w:szCs w:val="24"/>
        </w:rPr>
        <w:t>que nos permi</w:t>
      </w:r>
      <w:r w:rsidR="007148FA" w:rsidRPr="001C6BA3">
        <w:rPr>
          <w:rFonts w:ascii="Arial" w:hAnsi="Arial" w:cs="Arial"/>
          <w:sz w:val="24"/>
          <w:szCs w:val="24"/>
        </w:rPr>
        <w:t>ta</w:t>
      </w:r>
      <w:r w:rsidR="009F0060" w:rsidRPr="001C6BA3">
        <w:rPr>
          <w:rFonts w:ascii="Arial" w:hAnsi="Arial" w:cs="Arial"/>
          <w:sz w:val="24"/>
          <w:szCs w:val="24"/>
        </w:rPr>
        <w:t xml:space="preserve"> avanzar con pie firme hacia la</w:t>
      </w:r>
      <w:r w:rsidR="007148FA" w:rsidRPr="001C6BA3">
        <w:rPr>
          <w:rFonts w:ascii="Arial" w:hAnsi="Arial" w:cs="Arial"/>
          <w:sz w:val="24"/>
          <w:szCs w:val="24"/>
        </w:rPr>
        <w:t xml:space="preserve"> inclusión,</w:t>
      </w:r>
      <w:r w:rsidR="009F0060" w:rsidRPr="001C6BA3">
        <w:rPr>
          <w:rFonts w:ascii="Arial" w:hAnsi="Arial" w:cs="Arial"/>
          <w:sz w:val="24"/>
          <w:szCs w:val="24"/>
        </w:rPr>
        <w:t xml:space="preserve"> innovación y transformación</w:t>
      </w:r>
      <w:r w:rsidR="007148FA" w:rsidRPr="001C6BA3">
        <w:rPr>
          <w:rFonts w:ascii="Arial" w:hAnsi="Arial" w:cs="Arial"/>
          <w:sz w:val="24"/>
          <w:szCs w:val="24"/>
        </w:rPr>
        <w:t xml:space="preserve"> del sistema financiero panameño</w:t>
      </w:r>
      <w:r w:rsidR="009F0060" w:rsidRPr="001C6BA3">
        <w:rPr>
          <w:rFonts w:ascii="Arial" w:hAnsi="Arial" w:cs="Arial"/>
          <w:sz w:val="24"/>
          <w:szCs w:val="24"/>
        </w:rPr>
        <w:t xml:space="preserve">, </w:t>
      </w:r>
      <w:r w:rsidR="007148FA" w:rsidRPr="001C6BA3">
        <w:rPr>
          <w:rFonts w:ascii="Arial" w:hAnsi="Arial" w:cs="Arial"/>
          <w:sz w:val="24"/>
          <w:szCs w:val="24"/>
        </w:rPr>
        <w:t xml:space="preserve">que, </w:t>
      </w:r>
      <w:r w:rsidR="004C6790" w:rsidRPr="001C6BA3">
        <w:rPr>
          <w:rFonts w:ascii="Arial" w:hAnsi="Arial" w:cs="Arial"/>
          <w:sz w:val="24"/>
          <w:szCs w:val="24"/>
        </w:rPr>
        <w:t xml:space="preserve">ordene el sistema de pagos, que permita la incorporación de modelos de negocios innovadores apalancados en tecnología (fintechs de pagos) al ecosistema de pagos y que </w:t>
      </w:r>
      <w:r w:rsidR="007148FA" w:rsidRPr="001C6BA3">
        <w:rPr>
          <w:rFonts w:ascii="Arial" w:hAnsi="Arial" w:cs="Arial"/>
          <w:sz w:val="24"/>
          <w:szCs w:val="24"/>
        </w:rPr>
        <w:t>además</w:t>
      </w:r>
      <w:r w:rsidR="009F0060" w:rsidRPr="001C6BA3">
        <w:rPr>
          <w:rFonts w:ascii="Arial" w:hAnsi="Arial" w:cs="Arial"/>
          <w:sz w:val="24"/>
          <w:szCs w:val="24"/>
        </w:rPr>
        <w:t>, ref</w:t>
      </w:r>
      <w:r w:rsidR="007148FA" w:rsidRPr="001C6BA3">
        <w:rPr>
          <w:rFonts w:ascii="Arial" w:hAnsi="Arial" w:cs="Arial"/>
          <w:sz w:val="24"/>
          <w:szCs w:val="24"/>
        </w:rPr>
        <w:t>ue</w:t>
      </w:r>
      <w:r w:rsidR="009F0060" w:rsidRPr="001C6BA3">
        <w:rPr>
          <w:rFonts w:ascii="Arial" w:hAnsi="Arial" w:cs="Arial"/>
          <w:sz w:val="24"/>
          <w:szCs w:val="24"/>
        </w:rPr>
        <w:t>r</w:t>
      </w:r>
      <w:r w:rsidR="007148FA" w:rsidRPr="001C6BA3">
        <w:rPr>
          <w:rFonts w:ascii="Arial" w:hAnsi="Arial" w:cs="Arial"/>
          <w:sz w:val="24"/>
          <w:szCs w:val="24"/>
        </w:rPr>
        <w:t>ce</w:t>
      </w:r>
      <w:r w:rsidR="009F0060" w:rsidRPr="001C6BA3">
        <w:rPr>
          <w:rFonts w:ascii="Arial" w:hAnsi="Arial" w:cs="Arial"/>
          <w:sz w:val="24"/>
          <w:szCs w:val="24"/>
        </w:rPr>
        <w:t xml:space="preserve"> los controles de </w:t>
      </w:r>
      <w:r w:rsidR="007148FA" w:rsidRPr="001C6BA3">
        <w:rPr>
          <w:rFonts w:ascii="Arial" w:hAnsi="Arial" w:cs="Arial"/>
          <w:sz w:val="24"/>
          <w:szCs w:val="24"/>
        </w:rPr>
        <w:t xml:space="preserve">todos los participantes </w:t>
      </w:r>
      <w:r w:rsidR="009F0060" w:rsidRPr="001C6BA3">
        <w:rPr>
          <w:rFonts w:ascii="Arial" w:hAnsi="Arial" w:cs="Arial"/>
          <w:sz w:val="24"/>
          <w:szCs w:val="24"/>
        </w:rPr>
        <w:t>para hacer frente a l</w:t>
      </w:r>
      <w:r w:rsidR="0045358B" w:rsidRPr="001C6BA3">
        <w:rPr>
          <w:rFonts w:ascii="Arial" w:hAnsi="Arial" w:cs="Arial"/>
          <w:sz w:val="24"/>
          <w:szCs w:val="24"/>
        </w:rPr>
        <w:t>os riesgos cibernéticos</w:t>
      </w:r>
      <w:r w:rsidR="007148FA" w:rsidRPr="001C6BA3">
        <w:rPr>
          <w:rFonts w:ascii="Arial" w:hAnsi="Arial" w:cs="Arial"/>
          <w:sz w:val="24"/>
          <w:szCs w:val="24"/>
        </w:rPr>
        <w:t xml:space="preserve"> y darle mayor protección a los usuarios del sistema, que somos todos</w:t>
      </w:r>
      <w:r w:rsidR="009F0060" w:rsidRPr="001C6BA3">
        <w:rPr>
          <w:rFonts w:ascii="Arial" w:hAnsi="Arial" w:cs="Arial"/>
          <w:sz w:val="24"/>
          <w:szCs w:val="24"/>
        </w:rPr>
        <w:t>.</w:t>
      </w:r>
    </w:p>
    <w:p w14:paraId="11ADED84" w14:textId="2B9CB46A" w:rsidR="00B50295" w:rsidRPr="001C6BA3" w:rsidRDefault="00730673" w:rsidP="007447E3">
      <w:pPr>
        <w:spacing w:line="360" w:lineRule="auto"/>
        <w:jc w:val="both"/>
        <w:rPr>
          <w:rFonts w:ascii="Arial" w:hAnsi="Arial" w:cs="Arial"/>
          <w:sz w:val="24"/>
          <w:szCs w:val="24"/>
        </w:rPr>
      </w:pPr>
      <w:r w:rsidRPr="001C6BA3">
        <w:rPr>
          <w:rFonts w:ascii="Arial" w:hAnsi="Arial" w:cs="Arial"/>
          <w:sz w:val="24"/>
          <w:szCs w:val="24"/>
        </w:rPr>
        <w:t>A ustedes muchas gracias por acompañar</w:t>
      </w:r>
      <w:r w:rsidR="000F711D" w:rsidRPr="001C6BA3">
        <w:rPr>
          <w:rFonts w:ascii="Arial" w:hAnsi="Arial" w:cs="Arial"/>
          <w:sz w:val="24"/>
          <w:szCs w:val="24"/>
        </w:rPr>
        <w:t>me</w:t>
      </w:r>
      <w:r w:rsidRPr="001C6BA3">
        <w:rPr>
          <w:rFonts w:ascii="Arial" w:hAnsi="Arial" w:cs="Arial"/>
          <w:sz w:val="24"/>
          <w:szCs w:val="24"/>
        </w:rPr>
        <w:t xml:space="preserve"> en este caminar</w:t>
      </w:r>
      <w:r w:rsidR="007148FA" w:rsidRPr="001C6BA3">
        <w:rPr>
          <w:rFonts w:ascii="Arial" w:hAnsi="Arial" w:cs="Arial"/>
          <w:sz w:val="24"/>
          <w:szCs w:val="24"/>
        </w:rPr>
        <w:t xml:space="preserve"> y por su </w:t>
      </w:r>
      <w:r w:rsidR="00B50295" w:rsidRPr="001C6BA3">
        <w:rPr>
          <w:rFonts w:ascii="Arial" w:hAnsi="Arial" w:cs="Arial"/>
          <w:sz w:val="24"/>
          <w:szCs w:val="24"/>
        </w:rPr>
        <w:t>importante</w:t>
      </w:r>
      <w:r w:rsidR="007148FA" w:rsidRPr="001C6BA3">
        <w:rPr>
          <w:rFonts w:ascii="Arial" w:hAnsi="Arial" w:cs="Arial"/>
          <w:sz w:val="24"/>
          <w:szCs w:val="24"/>
        </w:rPr>
        <w:t xml:space="preserve"> contribución al desarrollo económico y sostenible de </w:t>
      </w:r>
      <w:r w:rsidR="0045358B" w:rsidRPr="001C6BA3">
        <w:rPr>
          <w:rFonts w:ascii="Arial" w:hAnsi="Arial" w:cs="Arial"/>
          <w:sz w:val="24"/>
          <w:szCs w:val="24"/>
        </w:rPr>
        <w:t>nuestro país</w:t>
      </w:r>
      <w:r w:rsidR="00B50295" w:rsidRPr="001C6BA3">
        <w:rPr>
          <w:rFonts w:ascii="Arial" w:hAnsi="Arial" w:cs="Arial"/>
          <w:sz w:val="24"/>
          <w:szCs w:val="24"/>
        </w:rPr>
        <w:t>.</w:t>
      </w:r>
      <w:r w:rsidR="007148FA" w:rsidRPr="001C6BA3">
        <w:rPr>
          <w:rFonts w:ascii="Arial" w:hAnsi="Arial" w:cs="Arial"/>
          <w:sz w:val="24"/>
          <w:szCs w:val="24"/>
        </w:rPr>
        <w:t>.</w:t>
      </w:r>
      <w:r w:rsidRPr="001C6BA3">
        <w:rPr>
          <w:rFonts w:ascii="Arial" w:hAnsi="Arial" w:cs="Arial"/>
          <w:sz w:val="24"/>
          <w:szCs w:val="24"/>
        </w:rPr>
        <w:t xml:space="preserve">. </w:t>
      </w:r>
    </w:p>
    <w:p w14:paraId="35A9AF31" w14:textId="27E26141" w:rsidR="00730673" w:rsidRPr="00F1201E" w:rsidRDefault="00730673" w:rsidP="007447E3">
      <w:pPr>
        <w:spacing w:line="360" w:lineRule="auto"/>
        <w:jc w:val="both"/>
        <w:rPr>
          <w:rFonts w:ascii="Arial" w:hAnsi="Arial" w:cs="Arial"/>
        </w:rPr>
      </w:pPr>
    </w:p>
    <w:sectPr w:rsidR="00730673" w:rsidRPr="00F1201E" w:rsidSect="00493C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BE6"/>
    <w:multiLevelType w:val="hybridMultilevel"/>
    <w:tmpl w:val="8528C25A"/>
    <w:lvl w:ilvl="0" w:tplc="117AD3D0">
      <w:numFmt w:val="bullet"/>
      <w:lvlText w:val="-"/>
      <w:lvlJc w:val="left"/>
      <w:pPr>
        <w:ind w:left="1636" w:hanging="360"/>
      </w:pPr>
      <w:rPr>
        <w:rFonts w:ascii="Cambria" w:eastAsiaTheme="minorHAnsi" w:hAnsi="Cambria" w:cs="Calibri"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1" w15:restartNumberingAfterBreak="0">
    <w:nsid w:val="06CA2281"/>
    <w:multiLevelType w:val="multilevel"/>
    <w:tmpl w:val="A8B4A8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C6277"/>
    <w:multiLevelType w:val="hybridMultilevel"/>
    <w:tmpl w:val="5E78B842"/>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3" w15:restartNumberingAfterBreak="0">
    <w:nsid w:val="0A3E1D8C"/>
    <w:multiLevelType w:val="hybridMultilevel"/>
    <w:tmpl w:val="6D8852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8D67A78"/>
    <w:multiLevelType w:val="hybridMultilevel"/>
    <w:tmpl w:val="664AB80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523E555E"/>
    <w:multiLevelType w:val="hybridMultilevel"/>
    <w:tmpl w:val="AADAFC36"/>
    <w:lvl w:ilvl="0" w:tplc="4A1CA304">
      <w:start w:val="1"/>
      <w:numFmt w:val="decimal"/>
      <w:lvlText w:val="%1."/>
      <w:lvlJc w:val="left"/>
      <w:pPr>
        <w:ind w:left="1004" w:hanging="360"/>
      </w:pPr>
      <w:rPr>
        <w:b/>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num w:numId="1" w16cid:durableId="302393464">
    <w:abstractNumId w:val="4"/>
  </w:num>
  <w:num w:numId="2" w16cid:durableId="2009672871">
    <w:abstractNumId w:val="5"/>
  </w:num>
  <w:num w:numId="3" w16cid:durableId="1618489765">
    <w:abstractNumId w:val="0"/>
  </w:num>
  <w:num w:numId="4" w16cid:durableId="596064884">
    <w:abstractNumId w:val="1"/>
  </w:num>
  <w:num w:numId="5" w16cid:durableId="316617083">
    <w:abstractNumId w:val="2"/>
  </w:num>
  <w:num w:numId="6" w16cid:durableId="1084956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34"/>
    <w:rsid w:val="00003167"/>
    <w:rsid w:val="00003C9E"/>
    <w:rsid w:val="00013C21"/>
    <w:rsid w:val="0001575D"/>
    <w:rsid w:val="00022AE9"/>
    <w:rsid w:val="00025253"/>
    <w:rsid w:val="00031170"/>
    <w:rsid w:val="0003136D"/>
    <w:rsid w:val="00032803"/>
    <w:rsid w:val="00034B26"/>
    <w:rsid w:val="000363CF"/>
    <w:rsid w:val="00036E05"/>
    <w:rsid w:val="00040EE1"/>
    <w:rsid w:val="00042018"/>
    <w:rsid w:val="00047745"/>
    <w:rsid w:val="0005422B"/>
    <w:rsid w:val="00057F61"/>
    <w:rsid w:val="00062CF1"/>
    <w:rsid w:val="000730EE"/>
    <w:rsid w:val="00083025"/>
    <w:rsid w:val="000843E5"/>
    <w:rsid w:val="000862F3"/>
    <w:rsid w:val="000A12D5"/>
    <w:rsid w:val="000A2789"/>
    <w:rsid w:val="000A317B"/>
    <w:rsid w:val="000B16B9"/>
    <w:rsid w:val="000B1C7D"/>
    <w:rsid w:val="000B4154"/>
    <w:rsid w:val="000B47B6"/>
    <w:rsid w:val="000B4E3B"/>
    <w:rsid w:val="000B5A67"/>
    <w:rsid w:val="000C192C"/>
    <w:rsid w:val="000D2C70"/>
    <w:rsid w:val="000E07D4"/>
    <w:rsid w:val="000E14FD"/>
    <w:rsid w:val="000E537E"/>
    <w:rsid w:val="000F711D"/>
    <w:rsid w:val="001034F8"/>
    <w:rsid w:val="0011358C"/>
    <w:rsid w:val="001147BA"/>
    <w:rsid w:val="00114CA2"/>
    <w:rsid w:val="00117BCC"/>
    <w:rsid w:val="00117C47"/>
    <w:rsid w:val="00123A54"/>
    <w:rsid w:val="001251BD"/>
    <w:rsid w:val="00132908"/>
    <w:rsid w:val="00141113"/>
    <w:rsid w:val="00146703"/>
    <w:rsid w:val="001473A6"/>
    <w:rsid w:val="001523CA"/>
    <w:rsid w:val="00154952"/>
    <w:rsid w:val="00155A67"/>
    <w:rsid w:val="001600D6"/>
    <w:rsid w:val="001608F6"/>
    <w:rsid w:val="00174AF4"/>
    <w:rsid w:val="00192715"/>
    <w:rsid w:val="001A1A81"/>
    <w:rsid w:val="001A3A3D"/>
    <w:rsid w:val="001B6AC4"/>
    <w:rsid w:val="001C3746"/>
    <w:rsid w:val="001C48BC"/>
    <w:rsid w:val="001C50A5"/>
    <w:rsid w:val="001C5D5A"/>
    <w:rsid w:val="001C6BA3"/>
    <w:rsid w:val="001D09E5"/>
    <w:rsid w:val="001D141C"/>
    <w:rsid w:val="001D28DC"/>
    <w:rsid w:val="001D4C33"/>
    <w:rsid w:val="001D5473"/>
    <w:rsid w:val="001D612A"/>
    <w:rsid w:val="001E0C5D"/>
    <w:rsid w:val="001F07A2"/>
    <w:rsid w:val="001F77E3"/>
    <w:rsid w:val="002006E0"/>
    <w:rsid w:val="002042E2"/>
    <w:rsid w:val="002052F0"/>
    <w:rsid w:val="002053C4"/>
    <w:rsid w:val="00214428"/>
    <w:rsid w:val="00217E41"/>
    <w:rsid w:val="002228B7"/>
    <w:rsid w:val="0022291A"/>
    <w:rsid w:val="002251F0"/>
    <w:rsid w:val="002301DC"/>
    <w:rsid w:val="002400F9"/>
    <w:rsid w:val="00241BB4"/>
    <w:rsid w:val="002531E8"/>
    <w:rsid w:val="0025484E"/>
    <w:rsid w:val="00272557"/>
    <w:rsid w:val="00274023"/>
    <w:rsid w:val="00281312"/>
    <w:rsid w:val="00283980"/>
    <w:rsid w:val="00290A41"/>
    <w:rsid w:val="002A0BE9"/>
    <w:rsid w:val="002B0780"/>
    <w:rsid w:val="002B7657"/>
    <w:rsid w:val="002D1C14"/>
    <w:rsid w:val="002D2871"/>
    <w:rsid w:val="002F7102"/>
    <w:rsid w:val="003014C9"/>
    <w:rsid w:val="00304C63"/>
    <w:rsid w:val="003152C1"/>
    <w:rsid w:val="0031623F"/>
    <w:rsid w:val="00317381"/>
    <w:rsid w:val="0031768C"/>
    <w:rsid w:val="00325A3E"/>
    <w:rsid w:val="00326235"/>
    <w:rsid w:val="003309B2"/>
    <w:rsid w:val="0033202C"/>
    <w:rsid w:val="00336CEF"/>
    <w:rsid w:val="00337DEC"/>
    <w:rsid w:val="00342A86"/>
    <w:rsid w:val="00342EEE"/>
    <w:rsid w:val="00346571"/>
    <w:rsid w:val="00346FF1"/>
    <w:rsid w:val="0034718C"/>
    <w:rsid w:val="00347F88"/>
    <w:rsid w:val="0035198F"/>
    <w:rsid w:val="00351ABC"/>
    <w:rsid w:val="00354CD8"/>
    <w:rsid w:val="00360831"/>
    <w:rsid w:val="003658F3"/>
    <w:rsid w:val="00382F7E"/>
    <w:rsid w:val="00393D09"/>
    <w:rsid w:val="00395B9C"/>
    <w:rsid w:val="00397788"/>
    <w:rsid w:val="003A20D9"/>
    <w:rsid w:val="003A2AC1"/>
    <w:rsid w:val="003A31B1"/>
    <w:rsid w:val="003A7BFA"/>
    <w:rsid w:val="003B3CC4"/>
    <w:rsid w:val="003B3E29"/>
    <w:rsid w:val="003B6D19"/>
    <w:rsid w:val="003C3DF0"/>
    <w:rsid w:val="003C6D5E"/>
    <w:rsid w:val="003C6F5E"/>
    <w:rsid w:val="003D206F"/>
    <w:rsid w:val="003D7031"/>
    <w:rsid w:val="003E3237"/>
    <w:rsid w:val="003E3EF7"/>
    <w:rsid w:val="003F200B"/>
    <w:rsid w:val="003F4FD1"/>
    <w:rsid w:val="0040298F"/>
    <w:rsid w:val="004123AB"/>
    <w:rsid w:val="00421698"/>
    <w:rsid w:val="00421BFB"/>
    <w:rsid w:val="004305B5"/>
    <w:rsid w:val="00436B51"/>
    <w:rsid w:val="00446ADE"/>
    <w:rsid w:val="00447C13"/>
    <w:rsid w:val="0045358B"/>
    <w:rsid w:val="00453986"/>
    <w:rsid w:val="00454851"/>
    <w:rsid w:val="00456478"/>
    <w:rsid w:val="0046271B"/>
    <w:rsid w:val="004661F3"/>
    <w:rsid w:val="004677AC"/>
    <w:rsid w:val="00471095"/>
    <w:rsid w:val="00472F62"/>
    <w:rsid w:val="00481CC9"/>
    <w:rsid w:val="004867C2"/>
    <w:rsid w:val="00486BC8"/>
    <w:rsid w:val="00492DE2"/>
    <w:rsid w:val="00493CF3"/>
    <w:rsid w:val="004A648C"/>
    <w:rsid w:val="004B1706"/>
    <w:rsid w:val="004B6FDD"/>
    <w:rsid w:val="004B75B1"/>
    <w:rsid w:val="004C083C"/>
    <w:rsid w:val="004C6790"/>
    <w:rsid w:val="004D5C24"/>
    <w:rsid w:val="004D6779"/>
    <w:rsid w:val="004D6E52"/>
    <w:rsid w:val="004E035F"/>
    <w:rsid w:val="004E25BA"/>
    <w:rsid w:val="004F4CD9"/>
    <w:rsid w:val="004F5569"/>
    <w:rsid w:val="0050256F"/>
    <w:rsid w:val="00505FBE"/>
    <w:rsid w:val="00506C5C"/>
    <w:rsid w:val="00507F0D"/>
    <w:rsid w:val="0051072D"/>
    <w:rsid w:val="00522C3C"/>
    <w:rsid w:val="00531353"/>
    <w:rsid w:val="00531723"/>
    <w:rsid w:val="00535054"/>
    <w:rsid w:val="005357B1"/>
    <w:rsid w:val="00535AE1"/>
    <w:rsid w:val="005376F8"/>
    <w:rsid w:val="00547A4C"/>
    <w:rsid w:val="00553288"/>
    <w:rsid w:val="005606DC"/>
    <w:rsid w:val="00560849"/>
    <w:rsid w:val="00560C9C"/>
    <w:rsid w:val="00561AE1"/>
    <w:rsid w:val="00576758"/>
    <w:rsid w:val="00580407"/>
    <w:rsid w:val="00583391"/>
    <w:rsid w:val="005958E5"/>
    <w:rsid w:val="005B4519"/>
    <w:rsid w:val="005B6FA2"/>
    <w:rsid w:val="005C02A2"/>
    <w:rsid w:val="005C2EF7"/>
    <w:rsid w:val="005C49AF"/>
    <w:rsid w:val="005C6900"/>
    <w:rsid w:val="005C7AD2"/>
    <w:rsid w:val="005D34DE"/>
    <w:rsid w:val="005D50A2"/>
    <w:rsid w:val="005D7F88"/>
    <w:rsid w:val="005E3044"/>
    <w:rsid w:val="005E65C8"/>
    <w:rsid w:val="005F726D"/>
    <w:rsid w:val="005F73D5"/>
    <w:rsid w:val="00606B04"/>
    <w:rsid w:val="006114B4"/>
    <w:rsid w:val="0061241D"/>
    <w:rsid w:val="00615937"/>
    <w:rsid w:val="00616F04"/>
    <w:rsid w:val="006211CC"/>
    <w:rsid w:val="00626734"/>
    <w:rsid w:val="00630CE1"/>
    <w:rsid w:val="006350CE"/>
    <w:rsid w:val="00645CB9"/>
    <w:rsid w:val="006640CC"/>
    <w:rsid w:val="006664EB"/>
    <w:rsid w:val="00670D85"/>
    <w:rsid w:val="00670D86"/>
    <w:rsid w:val="00675442"/>
    <w:rsid w:val="00677668"/>
    <w:rsid w:val="006827DE"/>
    <w:rsid w:val="00691F61"/>
    <w:rsid w:val="0069427C"/>
    <w:rsid w:val="00694D9F"/>
    <w:rsid w:val="00696651"/>
    <w:rsid w:val="006A4398"/>
    <w:rsid w:val="006A4FF7"/>
    <w:rsid w:val="006A6E2B"/>
    <w:rsid w:val="006B306B"/>
    <w:rsid w:val="006B393E"/>
    <w:rsid w:val="006C1816"/>
    <w:rsid w:val="006C44A9"/>
    <w:rsid w:val="006D289C"/>
    <w:rsid w:val="006D49BD"/>
    <w:rsid w:val="006F6D4B"/>
    <w:rsid w:val="00701F07"/>
    <w:rsid w:val="00705781"/>
    <w:rsid w:val="00706E92"/>
    <w:rsid w:val="00713C6B"/>
    <w:rsid w:val="007148FA"/>
    <w:rsid w:val="00720A0E"/>
    <w:rsid w:val="00722220"/>
    <w:rsid w:val="00722403"/>
    <w:rsid w:val="0072248F"/>
    <w:rsid w:val="00727401"/>
    <w:rsid w:val="00730673"/>
    <w:rsid w:val="00734797"/>
    <w:rsid w:val="00734A39"/>
    <w:rsid w:val="0073588C"/>
    <w:rsid w:val="007409D8"/>
    <w:rsid w:val="007447E3"/>
    <w:rsid w:val="0074507A"/>
    <w:rsid w:val="00745691"/>
    <w:rsid w:val="007541C8"/>
    <w:rsid w:val="00755BA7"/>
    <w:rsid w:val="00765777"/>
    <w:rsid w:val="00771193"/>
    <w:rsid w:val="0078504B"/>
    <w:rsid w:val="00785E23"/>
    <w:rsid w:val="007947C2"/>
    <w:rsid w:val="00797DF0"/>
    <w:rsid w:val="007A662C"/>
    <w:rsid w:val="007B0F29"/>
    <w:rsid w:val="007C1D12"/>
    <w:rsid w:val="007C3B35"/>
    <w:rsid w:val="007C7008"/>
    <w:rsid w:val="007C761B"/>
    <w:rsid w:val="007D1FD7"/>
    <w:rsid w:val="007F0D2B"/>
    <w:rsid w:val="007F26E2"/>
    <w:rsid w:val="00801DFB"/>
    <w:rsid w:val="00801F5E"/>
    <w:rsid w:val="00803920"/>
    <w:rsid w:val="008102E5"/>
    <w:rsid w:val="00814510"/>
    <w:rsid w:val="00816173"/>
    <w:rsid w:val="00821084"/>
    <w:rsid w:val="008239A0"/>
    <w:rsid w:val="008254A4"/>
    <w:rsid w:val="0083049B"/>
    <w:rsid w:val="00833F8A"/>
    <w:rsid w:val="00834A0B"/>
    <w:rsid w:val="00840E7E"/>
    <w:rsid w:val="00843FEB"/>
    <w:rsid w:val="00856CEF"/>
    <w:rsid w:val="00860ACB"/>
    <w:rsid w:val="00860D46"/>
    <w:rsid w:val="008632C1"/>
    <w:rsid w:val="00865F46"/>
    <w:rsid w:val="00882313"/>
    <w:rsid w:val="008844BD"/>
    <w:rsid w:val="00891504"/>
    <w:rsid w:val="00894768"/>
    <w:rsid w:val="00896379"/>
    <w:rsid w:val="008971F4"/>
    <w:rsid w:val="0089751E"/>
    <w:rsid w:val="008A4473"/>
    <w:rsid w:val="008A6382"/>
    <w:rsid w:val="008C7717"/>
    <w:rsid w:val="008D300F"/>
    <w:rsid w:val="008D42DE"/>
    <w:rsid w:val="008D4633"/>
    <w:rsid w:val="008D638D"/>
    <w:rsid w:val="008E0E80"/>
    <w:rsid w:val="008E2C93"/>
    <w:rsid w:val="008E6AE4"/>
    <w:rsid w:val="008E6DCC"/>
    <w:rsid w:val="008F02F7"/>
    <w:rsid w:val="009032D9"/>
    <w:rsid w:val="0090562F"/>
    <w:rsid w:val="00906414"/>
    <w:rsid w:val="0090731A"/>
    <w:rsid w:val="00914A8B"/>
    <w:rsid w:val="00914C98"/>
    <w:rsid w:val="00922152"/>
    <w:rsid w:val="009237D1"/>
    <w:rsid w:val="00924E4A"/>
    <w:rsid w:val="009261AC"/>
    <w:rsid w:val="00930F0D"/>
    <w:rsid w:val="00952CAE"/>
    <w:rsid w:val="009712F2"/>
    <w:rsid w:val="0097372E"/>
    <w:rsid w:val="009744C8"/>
    <w:rsid w:val="0097674E"/>
    <w:rsid w:val="009845E7"/>
    <w:rsid w:val="00984FB4"/>
    <w:rsid w:val="00993ED7"/>
    <w:rsid w:val="009A04B1"/>
    <w:rsid w:val="009B69E5"/>
    <w:rsid w:val="009C4A71"/>
    <w:rsid w:val="009D4C07"/>
    <w:rsid w:val="009E1585"/>
    <w:rsid w:val="009F0060"/>
    <w:rsid w:val="009F038B"/>
    <w:rsid w:val="009F315E"/>
    <w:rsid w:val="009F5BA4"/>
    <w:rsid w:val="00A010C7"/>
    <w:rsid w:val="00A0674B"/>
    <w:rsid w:val="00A10236"/>
    <w:rsid w:val="00A20E2B"/>
    <w:rsid w:val="00A24A44"/>
    <w:rsid w:val="00A538B9"/>
    <w:rsid w:val="00A6253F"/>
    <w:rsid w:val="00A64C05"/>
    <w:rsid w:val="00A67CD6"/>
    <w:rsid w:val="00A67F0D"/>
    <w:rsid w:val="00AA1E33"/>
    <w:rsid w:val="00AA548E"/>
    <w:rsid w:val="00AB10CF"/>
    <w:rsid w:val="00AB6382"/>
    <w:rsid w:val="00AC6620"/>
    <w:rsid w:val="00AC72D9"/>
    <w:rsid w:val="00AD09BE"/>
    <w:rsid w:val="00AD6A9D"/>
    <w:rsid w:val="00AD7866"/>
    <w:rsid w:val="00AF3E82"/>
    <w:rsid w:val="00AF7F38"/>
    <w:rsid w:val="00B00973"/>
    <w:rsid w:val="00B10303"/>
    <w:rsid w:val="00B159C0"/>
    <w:rsid w:val="00B24ED5"/>
    <w:rsid w:val="00B2510E"/>
    <w:rsid w:val="00B31CBA"/>
    <w:rsid w:val="00B401EE"/>
    <w:rsid w:val="00B41EDF"/>
    <w:rsid w:val="00B455BA"/>
    <w:rsid w:val="00B45927"/>
    <w:rsid w:val="00B50295"/>
    <w:rsid w:val="00B539A2"/>
    <w:rsid w:val="00B5725E"/>
    <w:rsid w:val="00B60BAC"/>
    <w:rsid w:val="00B61011"/>
    <w:rsid w:val="00B677C1"/>
    <w:rsid w:val="00B718EC"/>
    <w:rsid w:val="00B73034"/>
    <w:rsid w:val="00B76C63"/>
    <w:rsid w:val="00B81FE7"/>
    <w:rsid w:val="00B8438C"/>
    <w:rsid w:val="00BA17D4"/>
    <w:rsid w:val="00BA5F95"/>
    <w:rsid w:val="00BA6ECF"/>
    <w:rsid w:val="00BB6616"/>
    <w:rsid w:val="00BC5E18"/>
    <w:rsid w:val="00BC6C0B"/>
    <w:rsid w:val="00BD6058"/>
    <w:rsid w:val="00BD69A7"/>
    <w:rsid w:val="00BE3713"/>
    <w:rsid w:val="00BE5DA3"/>
    <w:rsid w:val="00BF001F"/>
    <w:rsid w:val="00BF2F3A"/>
    <w:rsid w:val="00BF5694"/>
    <w:rsid w:val="00BF6893"/>
    <w:rsid w:val="00C0022C"/>
    <w:rsid w:val="00C01030"/>
    <w:rsid w:val="00C02867"/>
    <w:rsid w:val="00C068C3"/>
    <w:rsid w:val="00C10210"/>
    <w:rsid w:val="00C10484"/>
    <w:rsid w:val="00C2508F"/>
    <w:rsid w:val="00C26C22"/>
    <w:rsid w:val="00C26C27"/>
    <w:rsid w:val="00C26E81"/>
    <w:rsid w:val="00C31E9D"/>
    <w:rsid w:val="00C42E65"/>
    <w:rsid w:val="00C66909"/>
    <w:rsid w:val="00C6794A"/>
    <w:rsid w:val="00C70542"/>
    <w:rsid w:val="00C76CB9"/>
    <w:rsid w:val="00C910B7"/>
    <w:rsid w:val="00C91C32"/>
    <w:rsid w:val="00C94BFD"/>
    <w:rsid w:val="00CA017B"/>
    <w:rsid w:val="00CA172E"/>
    <w:rsid w:val="00CA48C8"/>
    <w:rsid w:val="00CB37CF"/>
    <w:rsid w:val="00CB3C82"/>
    <w:rsid w:val="00CB402C"/>
    <w:rsid w:val="00CB70A3"/>
    <w:rsid w:val="00CC2AF4"/>
    <w:rsid w:val="00CC6A79"/>
    <w:rsid w:val="00CD0BD0"/>
    <w:rsid w:val="00CD3015"/>
    <w:rsid w:val="00CD37AE"/>
    <w:rsid w:val="00CD44EA"/>
    <w:rsid w:val="00CD6B61"/>
    <w:rsid w:val="00CE6D5F"/>
    <w:rsid w:val="00CF28EA"/>
    <w:rsid w:val="00CF3973"/>
    <w:rsid w:val="00CF4DF9"/>
    <w:rsid w:val="00CF4F61"/>
    <w:rsid w:val="00D00532"/>
    <w:rsid w:val="00D009C4"/>
    <w:rsid w:val="00D020A3"/>
    <w:rsid w:val="00D03A8B"/>
    <w:rsid w:val="00D04F47"/>
    <w:rsid w:val="00D04FB4"/>
    <w:rsid w:val="00D113B0"/>
    <w:rsid w:val="00D152B7"/>
    <w:rsid w:val="00D218BF"/>
    <w:rsid w:val="00D21A45"/>
    <w:rsid w:val="00D472FE"/>
    <w:rsid w:val="00D54E0D"/>
    <w:rsid w:val="00D62752"/>
    <w:rsid w:val="00D630C2"/>
    <w:rsid w:val="00D631E7"/>
    <w:rsid w:val="00D653A8"/>
    <w:rsid w:val="00D70641"/>
    <w:rsid w:val="00D70D8D"/>
    <w:rsid w:val="00D72918"/>
    <w:rsid w:val="00D851E4"/>
    <w:rsid w:val="00D85F87"/>
    <w:rsid w:val="00D940F7"/>
    <w:rsid w:val="00D9619F"/>
    <w:rsid w:val="00D96CD0"/>
    <w:rsid w:val="00D97CF1"/>
    <w:rsid w:val="00DA63C4"/>
    <w:rsid w:val="00DB09F3"/>
    <w:rsid w:val="00DB3BB4"/>
    <w:rsid w:val="00DC5FA1"/>
    <w:rsid w:val="00DC6644"/>
    <w:rsid w:val="00DC70F6"/>
    <w:rsid w:val="00DD16E8"/>
    <w:rsid w:val="00DD4A45"/>
    <w:rsid w:val="00DE07D2"/>
    <w:rsid w:val="00DE5C54"/>
    <w:rsid w:val="00E05C29"/>
    <w:rsid w:val="00E10998"/>
    <w:rsid w:val="00E10F6C"/>
    <w:rsid w:val="00E1495A"/>
    <w:rsid w:val="00E14A7F"/>
    <w:rsid w:val="00E15AEE"/>
    <w:rsid w:val="00E164A8"/>
    <w:rsid w:val="00E177EB"/>
    <w:rsid w:val="00E20798"/>
    <w:rsid w:val="00E25B0D"/>
    <w:rsid w:val="00E36960"/>
    <w:rsid w:val="00E36A6A"/>
    <w:rsid w:val="00E40E69"/>
    <w:rsid w:val="00E412A1"/>
    <w:rsid w:val="00E60937"/>
    <w:rsid w:val="00E642BA"/>
    <w:rsid w:val="00E75E89"/>
    <w:rsid w:val="00E877B5"/>
    <w:rsid w:val="00EA174A"/>
    <w:rsid w:val="00EC0B9F"/>
    <w:rsid w:val="00EC32BB"/>
    <w:rsid w:val="00EC405E"/>
    <w:rsid w:val="00EC6A57"/>
    <w:rsid w:val="00ED3856"/>
    <w:rsid w:val="00EE2744"/>
    <w:rsid w:val="00EE3975"/>
    <w:rsid w:val="00EE45FE"/>
    <w:rsid w:val="00EE6EDA"/>
    <w:rsid w:val="00EF7273"/>
    <w:rsid w:val="00F0260F"/>
    <w:rsid w:val="00F0338C"/>
    <w:rsid w:val="00F06E28"/>
    <w:rsid w:val="00F1201E"/>
    <w:rsid w:val="00F21D6A"/>
    <w:rsid w:val="00F221B5"/>
    <w:rsid w:val="00F256D6"/>
    <w:rsid w:val="00F26073"/>
    <w:rsid w:val="00F41536"/>
    <w:rsid w:val="00F42F8F"/>
    <w:rsid w:val="00F472E5"/>
    <w:rsid w:val="00F50028"/>
    <w:rsid w:val="00F51AE2"/>
    <w:rsid w:val="00F521DD"/>
    <w:rsid w:val="00F53FF4"/>
    <w:rsid w:val="00F56BC4"/>
    <w:rsid w:val="00F61FC7"/>
    <w:rsid w:val="00F62195"/>
    <w:rsid w:val="00F66608"/>
    <w:rsid w:val="00F71A61"/>
    <w:rsid w:val="00F730E2"/>
    <w:rsid w:val="00F75603"/>
    <w:rsid w:val="00F7748B"/>
    <w:rsid w:val="00F81FD0"/>
    <w:rsid w:val="00F93B5A"/>
    <w:rsid w:val="00FA20DD"/>
    <w:rsid w:val="00FC17DF"/>
    <w:rsid w:val="00FC3898"/>
    <w:rsid w:val="00FC3A86"/>
    <w:rsid w:val="00FC7FB7"/>
    <w:rsid w:val="00FE21D9"/>
    <w:rsid w:val="00FE3E04"/>
    <w:rsid w:val="00FE508E"/>
    <w:rsid w:val="00FE50C4"/>
    <w:rsid w:val="00FF2B2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ECA0"/>
  <w15:docId w15:val="{ACD919B5-0BC0-41D8-9E18-4275E843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26734"/>
    <w:pPr>
      <w:spacing w:after="0" w:line="240" w:lineRule="auto"/>
    </w:pPr>
  </w:style>
  <w:style w:type="paragraph" w:styleId="Textodeglobo">
    <w:name w:val="Balloon Text"/>
    <w:basedOn w:val="Normal"/>
    <w:link w:val="TextodegloboCar"/>
    <w:uiPriority w:val="99"/>
    <w:semiHidden/>
    <w:unhideWhenUsed/>
    <w:rsid w:val="005833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391"/>
    <w:rPr>
      <w:rFonts w:ascii="Segoe UI" w:hAnsi="Segoe UI" w:cs="Segoe UI"/>
      <w:sz w:val="18"/>
      <w:szCs w:val="18"/>
    </w:rPr>
  </w:style>
  <w:style w:type="paragraph" w:customStyle="1" w:styleId="Default">
    <w:name w:val="Default"/>
    <w:rsid w:val="000B4154"/>
    <w:pPr>
      <w:autoSpaceDE w:val="0"/>
      <w:autoSpaceDN w:val="0"/>
      <w:adjustRightInd w:val="0"/>
      <w:spacing w:after="0" w:line="240" w:lineRule="auto"/>
    </w:pPr>
    <w:rPr>
      <w:rFonts w:ascii="Arial" w:eastAsiaTheme="minorEastAsia" w:hAnsi="Arial" w:cs="Arial"/>
      <w:color w:val="000000"/>
      <w:sz w:val="24"/>
      <w:szCs w:val="24"/>
      <w:lang w:eastAsia="es-PA"/>
    </w:rPr>
  </w:style>
  <w:style w:type="paragraph" w:styleId="Textoindependiente">
    <w:name w:val="Body Text"/>
    <w:basedOn w:val="Normal"/>
    <w:link w:val="TextoindependienteCar"/>
    <w:uiPriority w:val="99"/>
    <w:unhideWhenUsed/>
    <w:rsid w:val="000B4154"/>
    <w:pPr>
      <w:spacing w:after="120"/>
    </w:pPr>
    <w:rPr>
      <w:rFonts w:eastAsiaTheme="minorEastAsia"/>
      <w:lang w:eastAsia="es-PA"/>
    </w:rPr>
  </w:style>
  <w:style w:type="character" w:customStyle="1" w:styleId="TextoindependienteCar">
    <w:name w:val="Texto independiente Car"/>
    <w:basedOn w:val="Fuentedeprrafopredeter"/>
    <w:link w:val="Textoindependiente"/>
    <w:uiPriority w:val="99"/>
    <w:rsid w:val="000B4154"/>
    <w:rPr>
      <w:rFonts w:eastAsiaTheme="minorEastAsia"/>
      <w:lang w:eastAsia="es-PA"/>
    </w:rPr>
  </w:style>
  <w:style w:type="character" w:customStyle="1" w:styleId="ilfuvd">
    <w:name w:val="ilfuvd"/>
    <w:basedOn w:val="Fuentedeprrafopredeter"/>
    <w:rsid w:val="000B4154"/>
  </w:style>
  <w:style w:type="paragraph" w:styleId="NormalWeb">
    <w:name w:val="Normal (Web)"/>
    <w:basedOn w:val="Normal"/>
    <w:uiPriority w:val="99"/>
    <w:semiHidden/>
    <w:unhideWhenUsed/>
    <w:rsid w:val="002A0BE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semiHidden/>
    <w:unhideWhenUsed/>
    <w:rsid w:val="00E15AEE"/>
    <w:rPr>
      <w:color w:val="0000FF"/>
      <w:u w:val="single"/>
    </w:rPr>
  </w:style>
  <w:style w:type="paragraph" w:styleId="Prrafodelista">
    <w:name w:val="List Paragraph"/>
    <w:basedOn w:val="Normal"/>
    <w:uiPriority w:val="34"/>
    <w:qFormat/>
    <w:rsid w:val="0069427C"/>
    <w:pPr>
      <w:spacing w:after="0" w:line="240" w:lineRule="auto"/>
      <w:ind w:left="720"/>
    </w:pPr>
    <w:rPr>
      <w:rFonts w:ascii="Calibri" w:hAnsi="Calibri" w:cs="Calibri"/>
      <w:lang w:val="es-CR" w:eastAsia="es-CR"/>
    </w:rPr>
  </w:style>
  <w:style w:type="paragraph" w:customStyle="1" w:styleId="xxmsonormal">
    <w:name w:val="x_x_msonormal"/>
    <w:basedOn w:val="Normal"/>
    <w:rsid w:val="006D289C"/>
    <w:pPr>
      <w:spacing w:after="0" w:line="240" w:lineRule="auto"/>
    </w:pPr>
    <w:rPr>
      <w:rFonts w:ascii="Calibri" w:hAnsi="Calibri" w:cs="Calibri"/>
      <w:lang w:val="es-ES" w:eastAsia="es-ES"/>
    </w:rPr>
  </w:style>
  <w:style w:type="character" w:customStyle="1" w:styleId="contentpasted0">
    <w:name w:val="contentpasted0"/>
    <w:basedOn w:val="Fuentedeprrafopredeter"/>
    <w:rsid w:val="006D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2333">
      <w:bodyDiv w:val="1"/>
      <w:marLeft w:val="0"/>
      <w:marRight w:val="0"/>
      <w:marTop w:val="0"/>
      <w:marBottom w:val="0"/>
      <w:divBdr>
        <w:top w:val="none" w:sz="0" w:space="0" w:color="auto"/>
        <w:left w:val="none" w:sz="0" w:space="0" w:color="auto"/>
        <w:bottom w:val="none" w:sz="0" w:space="0" w:color="auto"/>
        <w:right w:val="none" w:sz="0" w:space="0" w:color="auto"/>
      </w:divBdr>
    </w:div>
    <w:div w:id="106044075">
      <w:bodyDiv w:val="1"/>
      <w:marLeft w:val="0"/>
      <w:marRight w:val="0"/>
      <w:marTop w:val="0"/>
      <w:marBottom w:val="0"/>
      <w:divBdr>
        <w:top w:val="none" w:sz="0" w:space="0" w:color="auto"/>
        <w:left w:val="none" w:sz="0" w:space="0" w:color="auto"/>
        <w:bottom w:val="none" w:sz="0" w:space="0" w:color="auto"/>
        <w:right w:val="none" w:sz="0" w:space="0" w:color="auto"/>
      </w:divBdr>
    </w:div>
    <w:div w:id="205529426">
      <w:bodyDiv w:val="1"/>
      <w:marLeft w:val="0"/>
      <w:marRight w:val="0"/>
      <w:marTop w:val="0"/>
      <w:marBottom w:val="0"/>
      <w:divBdr>
        <w:top w:val="none" w:sz="0" w:space="0" w:color="auto"/>
        <w:left w:val="none" w:sz="0" w:space="0" w:color="auto"/>
        <w:bottom w:val="none" w:sz="0" w:space="0" w:color="auto"/>
        <w:right w:val="none" w:sz="0" w:space="0" w:color="auto"/>
      </w:divBdr>
    </w:div>
    <w:div w:id="277415298">
      <w:bodyDiv w:val="1"/>
      <w:marLeft w:val="0"/>
      <w:marRight w:val="0"/>
      <w:marTop w:val="0"/>
      <w:marBottom w:val="0"/>
      <w:divBdr>
        <w:top w:val="none" w:sz="0" w:space="0" w:color="auto"/>
        <w:left w:val="none" w:sz="0" w:space="0" w:color="auto"/>
        <w:bottom w:val="none" w:sz="0" w:space="0" w:color="auto"/>
        <w:right w:val="none" w:sz="0" w:space="0" w:color="auto"/>
      </w:divBdr>
    </w:div>
    <w:div w:id="292248395">
      <w:bodyDiv w:val="1"/>
      <w:marLeft w:val="0"/>
      <w:marRight w:val="0"/>
      <w:marTop w:val="0"/>
      <w:marBottom w:val="0"/>
      <w:divBdr>
        <w:top w:val="none" w:sz="0" w:space="0" w:color="auto"/>
        <w:left w:val="none" w:sz="0" w:space="0" w:color="auto"/>
        <w:bottom w:val="none" w:sz="0" w:space="0" w:color="auto"/>
        <w:right w:val="none" w:sz="0" w:space="0" w:color="auto"/>
      </w:divBdr>
    </w:div>
    <w:div w:id="409425479">
      <w:bodyDiv w:val="1"/>
      <w:marLeft w:val="0"/>
      <w:marRight w:val="0"/>
      <w:marTop w:val="0"/>
      <w:marBottom w:val="0"/>
      <w:divBdr>
        <w:top w:val="none" w:sz="0" w:space="0" w:color="auto"/>
        <w:left w:val="none" w:sz="0" w:space="0" w:color="auto"/>
        <w:bottom w:val="none" w:sz="0" w:space="0" w:color="auto"/>
        <w:right w:val="none" w:sz="0" w:space="0" w:color="auto"/>
      </w:divBdr>
    </w:div>
    <w:div w:id="482310115">
      <w:bodyDiv w:val="1"/>
      <w:marLeft w:val="0"/>
      <w:marRight w:val="0"/>
      <w:marTop w:val="0"/>
      <w:marBottom w:val="0"/>
      <w:divBdr>
        <w:top w:val="none" w:sz="0" w:space="0" w:color="auto"/>
        <w:left w:val="none" w:sz="0" w:space="0" w:color="auto"/>
        <w:bottom w:val="none" w:sz="0" w:space="0" w:color="auto"/>
        <w:right w:val="none" w:sz="0" w:space="0" w:color="auto"/>
      </w:divBdr>
    </w:div>
    <w:div w:id="488252051">
      <w:bodyDiv w:val="1"/>
      <w:marLeft w:val="0"/>
      <w:marRight w:val="0"/>
      <w:marTop w:val="0"/>
      <w:marBottom w:val="0"/>
      <w:divBdr>
        <w:top w:val="none" w:sz="0" w:space="0" w:color="auto"/>
        <w:left w:val="none" w:sz="0" w:space="0" w:color="auto"/>
        <w:bottom w:val="none" w:sz="0" w:space="0" w:color="auto"/>
        <w:right w:val="none" w:sz="0" w:space="0" w:color="auto"/>
      </w:divBdr>
    </w:div>
    <w:div w:id="643463730">
      <w:bodyDiv w:val="1"/>
      <w:marLeft w:val="0"/>
      <w:marRight w:val="0"/>
      <w:marTop w:val="0"/>
      <w:marBottom w:val="0"/>
      <w:divBdr>
        <w:top w:val="none" w:sz="0" w:space="0" w:color="auto"/>
        <w:left w:val="none" w:sz="0" w:space="0" w:color="auto"/>
        <w:bottom w:val="none" w:sz="0" w:space="0" w:color="auto"/>
        <w:right w:val="none" w:sz="0" w:space="0" w:color="auto"/>
      </w:divBdr>
    </w:div>
    <w:div w:id="658971284">
      <w:bodyDiv w:val="1"/>
      <w:marLeft w:val="0"/>
      <w:marRight w:val="0"/>
      <w:marTop w:val="0"/>
      <w:marBottom w:val="0"/>
      <w:divBdr>
        <w:top w:val="none" w:sz="0" w:space="0" w:color="auto"/>
        <w:left w:val="none" w:sz="0" w:space="0" w:color="auto"/>
        <w:bottom w:val="none" w:sz="0" w:space="0" w:color="auto"/>
        <w:right w:val="none" w:sz="0" w:space="0" w:color="auto"/>
      </w:divBdr>
    </w:div>
    <w:div w:id="674840960">
      <w:bodyDiv w:val="1"/>
      <w:marLeft w:val="0"/>
      <w:marRight w:val="0"/>
      <w:marTop w:val="0"/>
      <w:marBottom w:val="0"/>
      <w:divBdr>
        <w:top w:val="none" w:sz="0" w:space="0" w:color="auto"/>
        <w:left w:val="none" w:sz="0" w:space="0" w:color="auto"/>
        <w:bottom w:val="none" w:sz="0" w:space="0" w:color="auto"/>
        <w:right w:val="none" w:sz="0" w:space="0" w:color="auto"/>
      </w:divBdr>
    </w:div>
    <w:div w:id="680275048">
      <w:bodyDiv w:val="1"/>
      <w:marLeft w:val="0"/>
      <w:marRight w:val="0"/>
      <w:marTop w:val="0"/>
      <w:marBottom w:val="0"/>
      <w:divBdr>
        <w:top w:val="none" w:sz="0" w:space="0" w:color="auto"/>
        <w:left w:val="none" w:sz="0" w:space="0" w:color="auto"/>
        <w:bottom w:val="none" w:sz="0" w:space="0" w:color="auto"/>
        <w:right w:val="none" w:sz="0" w:space="0" w:color="auto"/>
      </w:divBdr>
    </w:div>
    <w:div w:id="699623487">
      <w:bodyDiv w:val="1"/>
      <w:marLeft w:val="0"/>
      <w:marRight w:val="0"/>
      <w:marTop w:val="0"/>
      <w:marBottom w:val="0"/>
      <w:divBdr>
        <w:top w:val="none" w:sz="0" w:space="0" w:color="auto"/>
        <w:left w:val="none" w:sz="0" w:space="0" w:color="auto"/>
        <w:bottom w:val="none" w:sz="0" w:space="0" w:color="auto"/>
        <w:right w:val="none" w:sz="0" w:space="0" w:color="auto"/>
      </w:divBdr>
    </w:div>
    <w:div w:id="700394872">
      <w:bodyDiv w:val="1"/>
      <w:marLeft w:val="0"/>
      <w:marRight w:val="0"/>
      <w:marTop w:val="0"/>
      <w:marBottom w:val="0"/>
      <w:divBdr>
        <w:top w:val="none" w:sz="0" w:space="0" w:color="auto"/>
        <w:left w:val="none" w:sz="0" w:space="0" w:color="auto"/>
        <w:bottom w:val="none" w:sz="0" w:space="0" w:color="auto"/>
        <w:right w:val="none" w:sz="0" w:space="0" w:color="auto"/>
      </w:divBdr>
    </w:div>
    <w:div w:id="742026813">
      <w:bodyDiv w:val="1"/>
      <w:marLeft w:val="0"/>
      <w:marRight w:val="0"/>
      <w:marTop w:val="0"/>
      <w:marBottom w:val="0"/>
      <w:divBdr>
        <w:top w:val="none" w:sz="0" w:space="0" w:color="auto"/>
        <w:left w:val="none" w:sz="0" w:space="0" w:color="auto"/>
        <w:bottom w:val="none" w:sz="0" w:space="0" w:color="auto"/>
        <w:right w:val="none" w:sz="0" w:space="0" w:color="auto"/>
      </w:divBdr>
    </w:div>
    <w:div w:id="753403645">
      <w:bodyDiv w:val="1"/>
      <w:marLeft w:val="0"/>
      <w:marRight w:val="0"/>
      <w:marTop w:val="0"/>
      <w:marBottom w:val="0"/>
      <w:divBdr>
        <w:top w:val="none" w:sz="0" w:space="0" w:color="auto"/>
        <w:left w:val="none" w:sz="0" w:space="0" w:color="auto"/>
        <w:bottom w:val="none" w:sz="0" w:space="0" w:color="auto"/>
        <w:right w:val="none" w:sz="0" w:space="0" w:color="auto"/>
      </w:divBdr>
    </w:div>
    <w:div w:id="769281193">
      <w:bodyDiv w:val="1"/>
      <w:marLeft w:val="0"/>
      <w:marRight w:val="0"/>
      <w:marTop w:val="0"/>
      <w:marBottom w:val="0"/>
      <w:divBdr>
        <w:top w:val="none" w:sz="0" w:space="0" w:color="auto"/>
        <w:left w:val="none" w:sz="0" w:space="0" w:color="auto"/>
        <w:bottom w:val="none" w:sz="0" w:space="0" w:color="auto"/>
        <w:right w:val="none" w:sz="0" w:space="0" w:color="auto"/>
      </w:divBdr>
    </w:div>
    <w:div w:id="810636138">
      <w:bodyDiv w:val="1"/>
      <w:marLeft w:val="0"/>
      <w:marRight w:val="0"/>
      <w:marTop w:val="0"/>
      <w:marBottom w:val="0"/>
      <w:divBdr>
        <w:top w:val="none" w:sz="0" w:space="0" w:color="auto"/>
        <w:left w:val="none" w:sz="0" w:space="0" w:color="auto"/>
        <w:bottom w:val="none" w:sz="0" w:space="0" w:color="auto"/>
        <w:right w:val="none" w:sz="0" w:space="0" w:color="auto"/>
      </w:divBdr>
    </w:div>
    <w:div w:id="885260573">
      <w:bodyDiv w:val="1"/>
      <w:marLeft w:val="0"/>
      <w:marRight w:val="0"/>
      <w:marTop w:val="0"/>
      <w:marBottom w:val="0"/>
      <w:divBdr>
        <w:top w:val="none" w:sz="0" w:space="0" w:color="auto"/>
        <w:left w:val="none" w:sz="0" w:space="0" w:color="auto"/>
        <w:bottom w:val="none" w:sz="0" w:space="0" w:color="auto"/>
        <w:right w:val="none" w:sz="0" w:space="0" w:color="auto"/>
      </w:divBdr>
    </w:div>
    <w:div w:id="891770994">
      <w:bodyDiv w:val="1"/>
      <w:marLeft w:val="0"/>
      <w:marRight w:val="0"/>
      <w:marTop w:val="0"/>
      <w:marBottom w:val="0"/>
      <w:divBdr>
        <w:top w:val="none" w:sz="0" w:space="0" w:color="auto"/>
        <w:left w:val="none" w:sz="0" w:space="0" w:color="auto"/>
        <w:bottom w:val="none" w:sz="0" w:space="0" w:color="auto"/>
        <w:right w:val="none" w:sz="0" w:space="0" w:color="auto"/>
      </w:divBdr>
    </w:div>
    <w:div w:id="937100173">
      <w:bodyDiv w:val="1"/>
      <w:marLeft w:val="0"/>
      <w:marRight w:val="0"/>
      <w:marTop w:val="0"/>
      <w:marBottom w:val="0"/>
      <w:divBdr>
        <w:top w:val="none" w:sz="0" w:space="0" w:color="auto"/>
        <w:left w:val="none" w:sz="0" w:space="0" w:color="auto"/>
        <w:bottom w:val="none" w:sz="0" w:space="0" w:color="auto"/>
        <w:right w:val="none" w:sz="0" w:space="0" w:color="auto"/>
      </w:divBdr>
    </w:div>
    <w:div w:id="952438320">
      <w:bodyDiv w:val="1"/>
      <w:marLeft w:val="0"/>
      <w:marRight w:val="0"/>
      <w:marTop w:val="0"/>
      <w:marBottom w:val="0"/>
      <w:divBdr>
        <w:top w:val="none" w:sz="0" w:space="0" w:color="auto"/>
        <w:left w:val="none" w:sz="0" w:space="0" w:color="auto"/>
        <w:bottom w:val="none" w:sz="0" w:space="0" w:color="auto"/>
        <w:right w:val="none" w:sz="0" w:space="0" w:color="auto"/>
      </w:divBdr>
    </w:div>
    <w:div w:id="971328417">
      <w:bodyDiv w:val="1"/>
      <w:marLeft w:val="0"/>
      <w:marRight w:val="0"/>
      <w:marTop w:val="0"/>
      <w:marBottom w:val="0"/>
      <w:divBdr>
        <w:top w:val="none" w:sz="0" w:space="0" w:color="auto"/>
        <w:left w:val="none" w:sz="0" w:space="0" w:color="auto"/>
        <w:bottom w:val="none" w:sz="0" w:space="0" w:color="auto"/>
        <w:right w:val="none" w:sz="0" w:space="0" w:color="auto"/>
      </w:divBdr>
    </w:div>
    <w:div w:id="1004435745">
      <w:bodyDiv w:val="1"/>
      <w:marLeft w:val="0"/>
      <w:marRight w:val="0"/>
      <w:marTop w:val="0"/>
      <w:marBottom w:val="0"/>
      <w:divBdr>
        <w:top w:val="none" w:sz="0" w:space="0" w:color="auto"/>
        <w:left w:val="none" w:sz="0" w:space="0" w:color="auto"/>
        <w:bottom w:val="none" w:sz="0" w:space="0" w:color="auto"/>
        <w:right w:val="none" w:sz="0" w:space="0" w:color="auto"/>
      </w:divBdr>
    </w:div>
    <w:div w:id="1009526537">
      <w:bodyDiv w:val="1"/>
      <w:marLeft w:val="0"/>
      <w:marRight w:val="0"/>
      <w:marTop w:val="0"/>
      <w:marBottom w:val="0"/>
      <w:divBdr>
        <w:top w:val="none" w:sz="0" w:space="0" w:color="auto"/>
        <w:left w:val="none" w:sz="0" w:space="0" w:color="auto"/>
        <w:bottom w:val="none" w:sz="0" w:space="0" w:color="auto"/>
        <w:right w:val="none" w:sz="0" w:space="0" w:color="auto"/>
      </w:divBdr>
    </w:div>
    <w:div w:id="1045642520">
      <w:bodyDiv w:val="1"/>
      <w:marLeft w:val="0"/>
      <w:marRight w:val="0"/>
      <w:marTop w:val="0"/>
      <w:marBottom w:val="0"/>
      <w:divBdr>
        <w:top w:val="none" w:sz="0" w:space="0" w:color="auto"/>
        <w:left w:val="none" w:sz="0" w:space="0" w:color="auto"/>
        <w:bottom w:val="none" w:sz="0" w:space="0" w:color="auto"/>
        <w:right w:val="none" w:sz="0" w:space="0" w:color="auto"/>
      </w:divBdr>
    </w:div>
    <w:div w:id="1055785031">
      <w:bodyDiv w:val="1"/>
      <w:marLeft w:val="0"/>
      <w:marRight w:val="0"/>
      <w:marTop w:val="0"/>
      <w:marBottom w:val="0"/>
      <w:divBdr>
        <w:top w:val="none" w:sz="0" w:space="0" w:color="auto"/>
        <w:left w:val="none" w:sz="0" w:space="0" w:color="auto"/>
        <w:bottom w:val="none" w:sz="0" w:space="0" w:color="auto"/>
        <w:right w:val="none" w:sz="0" w:space="0" w:color="auto"/>
      </w:divBdr>
    </w:div>
    <w:div w:id="1088385504">
      <w:bodyDiv w:val="1"/>
      <w:marLeft w:val="0"/>
      <w:marRight w:val="0"/>
      <w:marTop w:val="0"/>
      <w:marBottom w:val="0"/>
      <w:divBdr>
        <w:top w:val="none" w:sz="0" w:space="0" w:color="auto"/>
        <w:left w:val="none" w:sz="0" w:space="0" w:color="auto"/>
        <w:bottom w:val="none" w:sz="0" w:space="0" w:color="auto"/>
        <w:right w:val="none" w:sz="0" w:space="0" w:color="auto"/>
      </w:divBdr>
    </w:div>
    <w:div w:id="1098865118">
      <w:bodyDiv w:val="1"/>
      <w:marLeft w:val="0"/>
      <w:marRight w:val="0"/>
      <w:marTop w:val="0"/>
      <w:marBottom w:val="0"/>
      <w:divBdr>
        <w:top w:val="none" w:sz="0" w:space="0" w:color="auto"/>
        <w:left w:val="none" w:sz="0" w:space="0" w:color="auto"/>
        <w:bottom w:val="none" w:sz="0" w:space="0" w:color="auto"/>
        <w:right w:val="none" w:sz="0" w:space="0" w:color="auto"/>
      </w:divBdr>
    </w:div>
    <w:div w:id="1192760875">
      <w:bodyDiv w:val="1"/>
      <w:marLeft w:val="0"/>
      <w:marRight w:val="0"/>
      <w:marTop w:val="0"/>
      <w:marBottom w:val="0"/>
      <w:divBdr>
        <w:top w:val="none" w:sz="0" w:space="0" w:color="auto"/>
        <w:left w:val="none" w:sz="0" w:space="0" w:color="auto"/>
        <w:bottom w:val="none" w:sz="0" w:space="0" w:color="auto"/>
        <w:right w:val="none" w:sz="0" w:space="0" w:color="auto"/>
      </w:divBdr>
    </w:div>
    <w:div w:id="1195652383">
      <w:bodyDiv w:val="1"/>
      <w:marLeft w:val="0"/>
      <w:marRight w:val="0"/>
      <w:marTop w:val="0"/>
      <w:marBottom w:val="0"/>
      <w:divBdr>
        <w:top w:val="none" w:sz="0" w:space="0" w:color="auto"/>
        <w:left w:val="none" w:sz="0" w:space="0" w:color="auto"/>
        <w:bottom w:val="none" w:sz="0" w:space="0" w:color="auto"/>
        <w:right w:val="none" w:sz="0" w:space="0" w:color="auto"/>
      </w:divBdr>
    </w:div>
    <w:div w:id="1211722561">
      <w:bodyDiv w:val="1"/>
      <w:marLeft w:val="0"/>
      <w:marRight w:val="0"/>
      <w:marTop w:val="0"/>
      <w:marBottom w:val="0"/>
      <w:divBdr>
        <w:top w:val="none" w:sz="0" w:space="0" w:color="auto"/>
        <w:left w:val="none" w:sz="0" w:space="0" w:color="auto"/>
        <w:bottom w:val="none" w:sz="0" w:space="0" w:color="auto"/>
        <w:right w:val="none" w:sz="0" w:space="0" w:color="auto"/>
      </w:divBdr>
    </w:div>
    <w:div w:id="1227836348">
      <w:bodyDiv w:val="1"/>
      <w:marLeft w:val="0"/>
      <w:marRight w:val="0"/>
      <w:marTop w:val="0"/>
      <w:marBottom w:val="0"/>
      <w:divBdr>
        <w:top w:val="none" w:sz="0" w:space="0" w:color="auto"/>
        <w:left w:val="none" w:sz="0" w:space="0" w:color="auto"/>
        <w:bottom w:val="none" w:sz="0" w:space="0" w:color="auto"/>
        <w:right w:val="none" w:sz="0" w:space="0" w:color="auto"/>
      </w:divBdr>
    </w:div>
    <w:div w:id="1411737315">
      <w:bodyDiv w:val="1"/>
      <w:marLeft w:val="0"/>
      <w:marRight w:val="0"/>
      <w:marTop w:val="0"/>
      <w:marBottom w:val="0"/>
      <w:divBdr>
        <w:top w:val="none" w:sz="0" w:space="0" w:color="auto"/>
        <w:left w:val="none" w:sz="0" w:space="0" w:color="auto"/>
        <w:bottom w:val="none" w:sz="0" w:space="0" w:color="auto"/>
        <w:right w:val="none" w:sz="0" w:space="0" w:color="auto"/>
      </w:divBdr>
    </w:div>
    <w:div w:id="1475443548">
      <w:bodyDiv w:val="1"/>
      <w:marLeft w:val="0"/>
      <w:marRight w:val="0"/>
      <w:marTop w:val="0"/>
      <w:marBottom w:val="0"/>
      <w:divBdr>
        <w:top w:val="none" w:sz="0" w:space="0" w:color="auto"/>
        <w:left w:val="none" w:sz="0" w:space="0" w:color="auto"/>
        <w:bottom w:val="none" w:sz="0" w:space="0" w:color="auto"/>
        <w:right w:val="none" w:sz="0" w:space="0" w:color="auto"/>
      </w:divBdr>
    </w:div>
    <w:div w:id="1520508233">
      <w:bodyDiv w:val="1"/>
      <w:marLeft w:val="0"/>
      <w:marRight w:val="0"/>
      <w:marTop w:val="0"/>
      <w:marBottom w:val="0"/>
      <w:divBdr>
        <w:top w:val="none" w:sz="0" w:space="0" w:color="auto"/>
        <w:left w:val="none" w:sz="0" w:space="0" w:color="auto"/>
        <w:bottom w:val="none" w:sz="0" w:space="0" w:color="auto"/>
        <w:right w:val="none" w:sz="0" w:space="0" w:color="auto"/>
      </w:divBdr>
    </w:div>
    <w:div w:id="1591154982">
      <w:bodyDiv w:val="1"/>
      <w:marLeft w:val="0"/>
      <w:marRight w:val="0"/>
      <w:marTop w:val="0"/>
      <w:marBottom w:val="0"/>
      <w:divBdr>
        <w:top w:val="none" w:sz="0" w:space="0" w:color="auto"/>
        <w:left w:val="none" w:sz="0" w:space="0" w:color="auto"/>
        <w:bottom w:val="none" w:sz="0" w:space="0" w:color="auto"/>
        <w:right w:val="none" w:sz="0" w:space="0" w:color="auto"/>
      </w:divBdr>
      <w:divsChild>
        <w:div w:id="2012441369">
          <w:marLeft w:val="0"/>
          <w:marRight w:val="0"/>
          <w:marTop w:val="0"/>
          <w:marBottom w:val="15"/>
          <w:divBdr>
            <w:top w:val="single" w:sz="6" w:space="4" w:color="DBDBE4"/>
            <w:left w:val="single" w:sz="6" w:space="0" w:color="DBDBE4"/>
            <w:bottom w:val="single" w:sz="6" w:space="4" w:color="DBDBE4"/>
            <w:right w:val="single" w:sz="6" w:space="0" w:color="DBDBE4"/>
          </w:divBdr>
          <w:divsChild>
            <w:div w:id="1277323358">
              <w:marLeft w:val="0"/>
              <w:marRight w:val="0"/>
              <w:marTop w:val="0"/>
              <w:marBottom w:val="0"/>
              <w:divBdr>
                <w:top w:val="none" w:sz="0" w:space="0" w:color="auto"/>
                <w:left w:val="single" w:sz="6" w:space="11" w:color="DBDBE4"/>
                <w:bottom w:val="none" w:sz="0" w:space="0" w:color="auto"/>
                <w:right w:val="single" w:sz="6" w:space="11" w:color="DBDBE4"/>
              </w:divBdr>
            </w:div>
            <w:div w:id="2048750843">
              <w:marLeft w:val="0"/>
              <w:marRight w:val="0"/>
              <w:marTop w:val="0"/>
              <w:marBottom w:val="0"/>
              <w:divBdr>
                <w:top w:val="none" w:sz="0" w:space="0" w:color="auto"/>
                <w:left w:val="none" w:sz="0" w:space="0" w:color="auto"/>
                <w:bottom w:val="none" w:sz="0" w:space="0" w:color="auto"/>
                <w:right w:val="none" w:sz="0" w:space="0" w:color="auto"/>
              </w:divBdr>
            </w:div>
          </w:divsChild>
        </w:div>
        <w:div w:id="1135295984">
          <w:marLeft w:val="0"/>
          <w:marRight w:val="0"/>
          <w:marTop w:val="0"/>
          <w:marBottom w:val="15"/>
          <w:divBdr>
            <w:top w:val="single" w:sz="6" w:space="4" w:color="DBDBE4"/>
            <w:left w:val="single" w:sz="6" w:space="0" w:color="DBDBE4"/>
            <w:bottom w:val="single" w:sz="6" w:space="4" w:color="DBDBE4"/>
            <w:right w:val="single" w:sz="6" w:space="0" w:color="DBDBE4"/>
          </w:divBdr>
          <w:divsChild>
            <w:div w:id="1281645715">
              <w:marLeft w:val="0"/>
              <w:marRight w:val="0"/>
              <w:marTop w:val="0"/>
              <w:marBottom w:val="0"/>
              <w:divBdr>
                <w:top w:val="none" w:sz="0" w:space="0" w:color="auto"/>
                <w:left w:val="single" w:sz="6" w:space="11" w:color="DBDBE4"/>
                <w:bottom w:val="none" w:sz="0" w:space="0" w:color="auto"/>
                <w:right w:val="single" w:sz="6" w:space="11" w:color="DBDBE4"/>
              </w:divBdr>
            </w:div>
            <w:div w:id="469520488">
              <w:marLeft w:val="0"/>
              <w:marRight w:val="0"/>
              <w:marTop w:val="0"/>
              <w:marBottom w:val="0"/>
              <w:divBdr>
                <w:top w:val="none" w:sz="0" w:space="0" w:color="auto"/>
                <w:left w:val="none" w:sz="0" w:space="0" w:color="auto"/>
                <w:bottom w:val="none" w:sz="0" w:space="0" w:color="auto"/>
                <w:right w:val="none" w:sz="0" w:space="0" w:color="auto"/>
              </w:divBdr>
            </w:div>
          </w:divsChild>
        </w:div>
        <w:div w:id="1386640492">
          <w:marLeft w:val="0"/>
          <w:marRight w:val="0"/>
          <w:marTop w:val="0"/>
          <w:marBottom w:val="15"/>
          <w:divBdr>
            <w:top w:val="single" w:sz="6" w:space="4" w:color="DBDBE4"/>
            <w:left w:val="single" w:sz="6" w:space="0" w:color="DBDBE4"/>
            <w:bottom w:val="single" w:sz="6" w:space="4" w:color="DBDBE4"/>
            <w:right w:val="single" w:sz="6" w:space="0" w:color="DBDBE4"/>
          </w:divBdr>
          <w:divsChild>
            <w:div w:id="1120105269">
              <w:marLeft w:val="0"/>
              <w:marRight w:val="0"/>
              <w:marTop w:val="0"/>
              <w:marBottom w:val="0"/>
              <w:divBdr>
                <w:top w:val="none" w:sz="0" w:space="0" w:color="auto"/>
                <w:left w:val="single" w:sz="6" w:space="11" w:color="DBDBE4"/>
                <w:bottom w:val="none" w:sz="0" w:space="0" w:color="auto"/>
                <w:right w:val="single" w:sz="6" w:space="11" w:color="DBDBE4"/>
              </w:divBdr>
            </w:div>
            <w:div w:id="1424574298">
              <w:marLeft w:val="0"/>
              <w:marRight w:val="0"/>
              <w:marTop w:val="0"/>
              <w:marBottom w:val="0"/>
              <w:divBdr>
                <w:top w:val="none" w:sz="0" w:space="0" w:color="auto"/>
                <w:left w:val="none" w:sz="0" w:space="0" w:color="auto"/>
                <w:bottom w:val="none" w:sz="0" w:space="0" w:color="auto"/>
                <w:right w:val="none" w:sz="0" w:space="0" w:color="auto"/>
              </w:divBdr>
            </w:div>
          </w:divsChild>
        </w:div>
        <w:div w:id="850527144">
          <w:marLeft w:val="0"/>
          <w:marRight w:val="0"/>
          <w:marTop w:val="0"/>
          <w:marBottom w:val="15"/>
          <w:divBdr>
            <w:top w:val="single" w:sz="6" w:space="4" w:color="DBDBE4"/>
            <w:left w:val="single" w:sz="6" w:space="0" w:color="DBDBE4"/>
            <w:bottom w:val="single" w:sz="6" w:space="4" w:color="DBDBE4"/>
            <w:right w:val="single" w:sz="6" w:space="0" w:color="DBDBE4"/>
          </w:divBdr>
          <w:divsChild>
            <w:div w:id="1816138301">
              <w:marLeft w:val="0"/>
              <w:marRight w:val="0"/>
              <w:marTop w:val="0"/>
              <w:marBottom w:val="0"/>
              <w:divBdr>
                <w:top w:val="none" w:sz="0" w:space="0" w:color="auto"/>
                <w:left w:val="single" w:sz="6" w:space="11" w:color="DBDBE4"/>
                <w:bottom w:val="none" w:sz="0" w:space="0" w:color="auto"/>
                <w:right w:val="single" w:sz="6" w:space="11" w:color="DBDBE4"/>
              </w:divBdr>
            </w:div>
            <w:div w:id="980228733">
              <w:marLeft w:val="0"/>
              <w:marRight w:val="0"/>
              <w:marTop w:val="0"/>
              <w:marBottom w:val="0"/>
              <w:divBdr>
                <w:top w:val="none" w:sz="0" w:space="0" w:color="auto"/>
                <w:left w:val="none" w:sz="0" w:space="0" w:color="auto"/>
                <w:bottom w:val="none" w:sz="0" w:space="0" w:color="auto"/>
                <w:right w:val="none" w:sz="0" w:space="0" w:color="auto"/>
              </w:divBdr>
            </w:div>
          </w:divsChild>
        </w:div>
        <w:div w:id="1992831224">
          <w:marLeft w:val="0"/>
          <w:marRight w:val="0"/>
          <w:marTop w:val="0"/>
          <w:marBottom w:val="15"/>
          <w:divBdr>
            <w:top w:val="single" w:sz="6" w:space="4" w:color="DBDBE4"/>
            <w:left w:val="single" w:sz="6" w:space="0" w:color="DBDBE4"/>
            <w:bottom w:val="single" w:sz="6" w:space="4" w:color="DBDBE4"/>
            <w:right w:val="single" w:sz="6" w:space="0" w:color="DBDBE4"/>
          </w:divBdr>
          <w:divsChild>
            <w:div w:id="1467503010">
              <w:marLeft w:val="0"/>
              <w:marRight w:val="0"/>
              <w:marTop w:val="0"/>
              <w:marBottom w:val="0"/>
              <w:divBdr>
                <w:top w:val="none" w:sz="0" w:space="0" w:color="auto"/>
                <w:left w:val="single" w:sz="6" w:space="11" w:color="DBDBE4"/>
                <w:bottom w:val="none" w:sz="0" w:space="0" w:color="auto"/>
                <w:right w:val="single" w:sz="6" w:space="11" w:color="DBDBE4"/>
              </w:divBdr>
            </w:div>
            <w:div w:id="1091124945">
              <w:marLeft w:val="0"/>
              <w:marRight w:val="0"/>
              <w:marTop w:val="0"/>
              <w:marBottom w:val="0"/>
              <w:divBdr>
                <w:top w:val="none" w:sz="0" w:space="0" w:color="auto"/>
                <w:left w:val="none" w:sz="0" w:space="0" w:color="auto"/>
                <w:bottom w:val="none" w:sz="0" w:space="0" w:color="auto"/>
                <w:right w:val="none" w:sz="0" w:space="0" w:color="auto"/>
              </w:divBdr>
            </w:div>
          </w:divsChild>
        </w:div>
        <w:div w:id="439960887">
          <w:marLeft w:val="0"/>
          <w:marRight w:val="0"/>
          <w:marTop w:val="0"/>
          <w:marBottom w:val="15"/>
          <w:divBdr>
            <w:top w:val="single" w:sz="6" w:space="4" w:color="DBDBE4"/>
            <w:left w:val="single" w:sz="6" w:space="0" w:color="DBDBE4"/>
            <w:bottom w:val="single" w:sz="6" w:space="4" w:color="DBDBE4"/>
            <w:right w:val="single" w:sz="6" w:space="0" w:color="DBDBE4"/>
          </w:divBdr>
          <w:divsChild>
            <w:div w:id="664623777">
              <w:marLeft w:val="0"/>
              <w:marRight w:val="0"/>
              <w:marTop w:val="0"/>
              <w:marBottom w:val="0"/>
              <w:divBdr>
                <w:top w:val="none" w:sz="0" w:space="0" w:color="auto"/>
                <w:left w:val="single" w:sz="6" w:space="11" w:color="DBDBE4"/>
                <w:bottom w:val="none" w:sz="0" w:space="0" w:color="auto"/>
                <w:right w:val="single" w:sz="6" w:space="11" w:color="DBDBE4"/>
              </w:divBdr>
            </w:div>
            <w:div w:id="2063820688">
              <w:marLeft w:val="0"/>
              <w:marRight w:val="0"/>
              <w:marTop w:val="0"/>
              <w:marBottom w:val="0"/>
              <w:divBdr>
                <w:top w:val="none" w:sz="0" w:space="0" w:color="auto"/>
                <w:left w:val="none" w:sz="0" w:space="0" w:color="auto"/>
                <w:bottom w:val="none" w:sz="0" w:space="0" w:color="auto"/>
                <w:right w:val="none" w:sz="0" w:space="0" w:color="auto"/>
              </w:divBdr>
            </w:div>
          </w:divsChild>
        </w:div>
        <w:div w:id="2016377067">
          <w:marLeft w:val="0"/>
          <w:marRight w:val="0"/>
          <w:marTop w:val="0"/>
          <w:marBottom w:val="15"/>
          <w:divBdr>
            <w:top w:val="single" w:sz="6" w:space="4" w:color="DBDBE4"/>
            <w:left w:val="single" w:sz="6" w:space="0" w:color="DBDBE4"/>
            <w:bottom w:val="single" w:sz="6" w:space="4" w:color="DBDBE4"/>
            <w:right w:val="single" w:sz="6" w:space="0" w:color="DBDBE4"/>
          </w:divBdr>
          <w:divsChild>
            <w:div w:id="1588076944">
              <w:marLeft w:val="0"/>
              <w:marRight w:val="0"/>
              <w:marTop w:val="0"/>
              <w:marBottom w:val="0"/>
              <w:divBdr>
                <w:top w:val="none" w:sz="0" w:space="0" w:color="auto"/>
                <w:left w:val="single" w:sz="6" w:space="11" w:color="DBDBE4"/>
                <w:bottom w:val="none" w:sz="0" w:space="0" w:color="auto"/>
                <w:right w:val="single" w:sz="6" w:space="11" w:color="DBDBE4"/>
              </w:divBdr>
            </w:div>
            <w:div w:id="837618835">
              <w:marLeft w:val="0"/>
              <w:marRight w:val="0"/>
              <w:marTop w:val="0"/>
              <w:marBottom w:val="0"/>
              <w:divBdr>
                <w:top w:val="none" w:sz="0" w:space="0" w:color="auto"/>
                <w:left w:val="none" w:sz="0" w:space="0" w:color="auto"/>
                <w:bottom w:val="none" w:sz="0" w:space="0" w:color="auto"/>
                <w:right w:val="none" w:sz="0" w:space="0" w:color="auto"/>
              </w:divBdr>
            </w:div>
          </w:divsChild>
        </w:div>
        <w:div w:id="1412312976">
          <w:marLeft w:val="0"/>
          <w:marRight w:val="0"/>
          <w:marTop w:val="0"/>
          <w:marBottom w:val="15"/>
          <w:divBdr>
            <w:top w:val="single" w:sz="6" w:space="4" w:color="DBDBE4"/>
            <w:left w:val="single" w:sz="6" w:space="0" w:color="DBDBE4"/>
            <w:bottom w:val="single" w:sz="6" w:space="4" w:color="DBDBE4"/>
            <w:right w:val="single" w:sz="6" w:space="0" w:color="DBDBE4"/>
          </w:divBdr>
          <w:divsChild>
            <w:div w:id="2068649992">
              <w:marLeft w:val="0"/>
              <w:marRight w:val="0"/>
              <w:marTop w:val="0"/>
              <w:marBottom w:val="0"/>
              <w:divBdr>
                <w:top w:val="none" w:sz="0" w:space="0" w:color="auto"/>
                <w:left w:val="single" w:sz="6" w:space="11" w:color="DBDBE4"/>
                <w:bottom w:val="none" w:sz="0" w:space="0" w:color="auto"/>
                <w:right w:val="single" w:sz="6" w:space="11" w:color="DBDBE4"/>
              </w:divBdr>
            </w:div>
            <w:div w:id="1943414675">
              <w:marLeft w:val="0"/>
              <w:marRight w:val="0"/>
              <w:marTop w:val="0"/>
              <w:marBottom w:val="0"/>
              <w:divBdr>
                <w:top w:val="none" w:sz="0" w:space="0" w:color="auto"/>
                <w:left w:val="none" w:sz="0" w:space="0" w:color="auto"/>
                <w:bottom w:val="none" w:sz="0" w:space="0" w:color="auto"/>
                <w:right w:val="none" w:sz="0" w:space="0" w:color="auto"/>
              </w:divBdr>
            </w:div>
          </w:divsChild>
        </w:div>
        <w:div w:id="422336188">
          <w:marLeft w:val="0"/>
          <w:marRight w:val="0"/>
          <w:marTop w:val="0"/>
          <w:marBottom w:val="15"/>
          <w:divBdr>
            <w:top w:val="single" w:sz="6" w:space="4" w:color="DBDBE4"/>
            <w:left w:val="single" w:sz="6" w:space="0" w:color="DBDBE4"/>
            <w:bottom w:val="single" w:sz="6" w:space="4" w:color="DBDBE4"/>
            <w:right w:val="single" w:sz="6" w:space="0" w:color="DBDBE4"/>
          </w:divBdr>
          <w:divsChild>
            <w:div w:id="1099374781">
              <w:marLeft w:val="0"/>
              <w:marRight w:val="0"/>
              <w:marTop w:val="0"/>
              <w:marBottom w:val="0"/>
              <w:divBdr>
                <w:top w:val="none" w:sz="0" w:space="0" w:color="auto"/>
                <w:left w:val="single" w:sz="6" w:space="11" w:color="DBDBE4"/>
                <w:bottom w:val="none" w:sz="0" w:space="0" w:color="auto"/>
                <w:right w:val="single" w:sz="6" w:space="11" w:color="DBDBE4"/>
              </w:divBdr>
            </w:div>
            <w:div w:id="340862556">
              <w:marLeft w:val="0"/>
              <w:marRight w:val="0"/>
              <w:marTop w:val="0"/>
              <w:marBottom w:val="0"/>
              <w:divBdr>
                <w:top w:val="none" w:sz="0" w:space="0" w:color="auto"/>
                <w:left w:val="none" w:sz="0" w:space="0" w:color="auto"/>
                <w:bottom w:val="none" w:sz="0" w:space="0" w:color="auto"/>
                <w:right w:val="none" w:sz="0" w:space="0" w:color="auto"/>
              </w:divBdr>
            </w:div>
          </w:divsChild>
        </w:div>
        <w:div w:id="1533567665">
          <w:marLeft w:val="0"/>
          <w:marRight w:val="0"/>
          <w:marTop w:val="0"/>
          <w:marBottom w:val="15"/>
          <w:divBdr>
            <w:top w:val="single" w:sz="6" w:space="4" w:color="DBDBE4"/>
            <w:left w:val="single" w:sz="6" w:space="0" w:color="DBDBE4"/>
            <w:bottom w:val="single" w:sz="6" w:space="4" w:color="DBDBE4"/>
            <w:right w:val="single" w:sz="6" w:space="0" w:color="DBDBE4"/>
          </w:divBdr>
          <w:divsChild>
            <w:div w:id="72506676">
              <w:marLeft w:val="0"/>
              <w:marRight w:val="0"/>
              <w:marTop w:val="0"/>
              <w:marBottom w:val="0"/>
              <w:divBdr>
                <w:top w:val="none" w:sz="0" w:space="0" w:color="auto"/>
                <w:left w:val="single" w:sz="6" w:space="11" w:color="DBDBE4"/>
                <w:bottom w:val="none" w:sz="0" w:space="0" w:color="auto"/>
                <w:right w:val="single" w:sz="6" w:space="11" w:color="DBDBE4"/>
              </w:divBdr>
            </w:div>
            <w:div w:id="693118350">
              <w:marLeft w:val="0"/>
              <w:marRight w:val="0"/>
              <w:marTop w:val="0"/>
              <w:marBottom w:val="0"/>
              <w:divBdr>
                <w:top w:val="none" w:sz="0" w:space="0" w:color="auto"/>
                <w:left w:val="none" w:sz="0" w:space="0" w:color="auto"/>
                <w:bottom w:val="none" w:sz="0" w:space="0" w:color="auto"/>
                <w:right w:val="none" w:sz="0" w:space="0" w:color="auto"/>
              </w:divBdr>
            </w:div>
          </w:divsChild>
        </w:div>
        <w:div w:id="2115051253">
          <w:marLeft w:val="0"/>
          <w:marRight w:val="0"/>
          <w:marTop w:val="0"/>
          <w:marBottom w:val="15"/>
          <w:divBdr>
            <w:top w:val="single" w:sz="6" w:space="4" w:color="DBDBE4"/>
            <w:left w:val="single" w:sz="6" w:space="0" w:color="DBDBE4"/>
            <w:bottom w:val="single" w:sz="6" w:space="4" w:color="DBDBE4"/>
            <w:right w:val="single" w:sz="6" w:space="0" w:color="DBDBE4"/>
          </w:divBdr>
          <w:divsChild>
            <w:div w:id="1021324706">
              <w:marLeft w:val="0"/>
              <w:marRight w:val="0"/>
              <w:marTop w:val="0"/>
              <w:marBottom w:val="0"/>
              <w:divBdr>
                <w:top w:val="none" w:sz="0" w:space="0" w:color="auto"/>
                <w:left w:val="single" w:sz="6" w:space="11" w:color="DBDBE4"/>
                <w:bottom w:val="none" w:sz="0" w:space="0" w:color="auto"/>
                <w:right w:val="single" w:sz="6" w:space="11" w:color="DBDBE4"/>
              </w:divBdr>
            </w:div>
            <w:div w:id="879391909">
              <w:marLeft w:val="0"/>
              <w:marRight w:val="0"/>
              <w:marTop w:val="0"/>
              <w:marBottom w:val="0"/>
              <w:divBdr>
                <w:top w:val="none" w:sz="0" w:space="0" w:color="auto"/>
                <w:left w:val="none" w:sz="0" w:space="0" w:color="auto"/>
                <w:bottom w:val="none" w:sz="0" w:space="0" w:color="auto"/>
                <w:right w:val="none" w:sz="0" w:space="0" w:color="auto"/>
              </w:divBdr>
            </w:div>
          </w:divsChild>
        </w:div>
        <w:div w:id="135295185">
          <w:marLeft w:val="0"/>
          <w:marRight w:val="0"/>
          <w:marTop w:val="0"/>
          <w:marBottom w:val="15"/>
          <w:divBdr>
            <w:top w:val="single" w:sz="6" w:space="4" w:color="DBDBE4"/>
            <w:left w:val="single" w:sz="6" w:space="0" w:color="DBDBE4"/>
            <w:bottom w:val="single" w:sz="6" w:space="4" w:color="DBDBE4"/>
            <w:right w:val="single" w:sz="6" w:space="0" w:color="DBDBE4"/>
          </w:divBdr>
          <w:divsChild>
            <w:div w:id="655913261">
              <w:marLeft w:val="0"/>
              <w:marRight w:val="0"/>
              <w:marTop w:val="0"/>
              <w:marBottom w:val="0"/>
              <w:divBdr>
                <w:top w:val="none" w:sz="0" w:space="0" w:color="auto"/>
                <w:left w:val="single" w:sz="6" w:space="11" w:color="DBDBE4"/>
                <w:bottom w:val="none" w:sz="0" w:space="0" w:color="auto"/>
                <w:right w:val="single" w:sz="6" w:space="11" w:color="DBDBE4"/>
              </w:divBdr>
            </w:div>
            <w:div w:id="1915117535">
              <w:marLeft w:val="0"/>
              <w:marRight w:val="0"/>
              <w:marTop w:val="0"/>
              <w:marBottom w:val="0"/>
              <w:divBdr>
                <w:top w:val="none" w:sz="0" w:space="0" w:color="auto"/>
                <w:left w:val="none" w:sz="0" w:space="0" w:color="auto"/>
                <w:bottom w:val="none" w:sz="0" w:space="0" w:color="auto"/>
                <w:right w:val="none" w:sz="0" w:space="0" w:color="auto"/>
              </w:divBdr>
            </w:div>
          </w:divsChild>
        </w:div>
        <w:div w:id="495725389">
          <w:marLeft w:val="0"/>
          <w:marRight w:val="0"/>
          <w:marTop w:val="0"/>
          <w:marBottom w:val="15"/>
          <w:divBdr>
            <w:top w:val="single" w:sz="6" w:space="4" w:color="DBDBE4"/>
            <w:left w:val="single" w:sz="6" w:space="0" w:color="DBDBE4"/>
            <w:bottom w:val="single" w:sz="6" w:space="4" w:color="DBDBE4"/>
            <w:right w:val="single" w:sz="6" w:space="0" w:color="DBDBE4"/>
          </w:divBdr>
          <w:divsChild>
            <w:div w:id="556821722">
              <w:marLeft w:val="0"/>
              <w:marRight w:val="0"/>
              <w:marTop w:val="0"/>
              <w:marBottom w:val="0"/>
              <w:divBdr>
                <w:top w:val="none" w:sz="0" w:space="0" w:color="auto"/>
                <w:left w:val="single" w:sz="6" w:space="11" w:color="DBDBE4"/>
                <w:bottom w:val="none" w:sz="0" w:space="0" w:color="auto"/>
                <w:right w:val="single" w:sz="6" w:space="11" w:color="DBDBE4"/>
              </w:divBdr>
            </w:div>
            <w:div w:id="133715624">
              <w:marLeft w:val="0"/>
              <w:marRight w:val="0"/>
              <w:marTop w:val="0"/>
              <w:marBottom w:val="0"/>
              <w:divBdr>
                <w:top w:val="none" w:sz="0" w:space="0" w:color="auto"/>
                <w:left w:val="none" w:sz="0" w:space="0" w:color="auto"/>
                <w:bottom w:val="none" w:sz="0" w:space="0" w:color="auto"/>
                <w:right w:val="none" w:sz="0" w:space="0" w:color="auto"/>
              </w:divBdr>
            </w:div>
          </w:divsChild>
        </w:div>
        <w:div w:id="419528273">
          <w:marLeft w:val="0"/>
          <w:marRight w:val="0"/>
          <w:marTop w:val="0"/>
          <w:marBottom w:val="15"/>
          <w:divBdr>
            <w:top w:val="single" w:sz="6" w:space="4" w:color="DBDBE4"/>
            <w:left w:val="single" w:sz="6" w:space="0" w:color="DBDBE4"/>
            <w:bottom w:val="single" w:sz="6" w:space="4" w:color="DBDBE4"/>
            <w:right w:val="single" w:sz="6" w:space="0" w:color="DBDBE4"/>
          </w:divBdr>
          <w:divsChild>
            <w:div w:id="900871383">
              <w:marLeft w:val="0"/>
              <w:marRight w:val="0"/>
              <w:marTop w:val="0"/>
              <w:marBottom w:val="0"/>
              <w:divBdr>
                <w:top w:val="none" w:sz="0" w:space="0" w:color="auto"/>
                <w:left w:val="single" w:sz="6" w:space="11" w:color="DBDBE4"/>
                <w:bottom w:val="none" w:sz="0" w:space="0" w:color="auto"/>
                <w:right w:val="single" w:sz="6" w:space="11" w:color="DBDBE4"/>
              </w:divBdr>
            </w:div>
            <w:div w:id="895362558">
              <w:marLeft w:val="0"/>
              <w:marRight w:val="0"/>
              <w:marTop w:val="0"/>
              <w:marBottom w:val="0"/>
              <w:divBdr>
                <w:top w:val="none" w:sz="0" w:space="0" w:color="auto"/>
                <w:left w:val="none" w:sz="0" w:space="0" w:color="auto"/>
                <w:bottom w:val="none" w:sz="0" w:space="0" w:color="auto"/>
                <w:right w:val="none" w:sz="0" w:space="0" w:color="auto"/>
              </w:divBdr>
            </w:div>
          </w:divsChild>
        </w:div>
        <w:div w:id="368531464">
          <w:marLeft w:val="0"/>
          <w:marRight w:val="0"/>
          <w:marTop w:val="0"/>
          <w:marBottom w:val="15"/>
          <w:divBdr>
            <w:top w:val="single" w:sz="6" w:space="4" w:color="DBDBE4"/>
            <w:left w:val="single" w:sz="6" w:space="0" w:color="DBDBE4"/>
            <w:bottom w:val="single" w:sz="6" w:space="4" w:color="DBDBE4"/>
            <w:right w:val="single" w:sz="6" w:space="0" w:color="DBDBE4"/>
          </w:divBdr>
          <w:divsChild>
            <w:div w:id="582573227">
              <w:marLeft w:val="0"/>
              <w:marRight w:val="0"/>
              <w:marTop w:val="0"/>
              <w:marBottom w:val="0"/>
              <w:divBdr>
                <w:top w:val="none" w:sz="0" w:space="0" w:color="auto"/>
                <w:left w:val="single" w:sz="6" w:space="11" w:color="DBDBE4"/>
                <w:bottom w:val="none" w:sz="0" w:space="0" w:color="auto"/>
                <w:right w:val="single" w:sz="6" w:space="11" w:color="DBDBE4"/>
              </w:divBdr>
            </w:div>
            <w:div w:id="508299662">
              <w:marLeft w:val="0"/>
              <w:marRight w:val="0"/>
              <w:marTop w:val="0"/>
              <w:marBottom w:val="0"/>
              <w:divBdr>
                <w:top w:val="none" w:sz="0" w:space="0" w:color="auto"/>
                <w:left w:val="none" w:sz="0" w:space="0" w:color="auto"/>
                <w:bottom w:val="none" w:sz="0" w:space="0" w:color="auto"/>
                <w:right w:val="none" w:sz="0" w:space="0" w:color="auto"/>
              </w:divBdr>
            </w:div>
          </w:divsChild>
        </w:div>
        <w:div w:id="894968430">
          <w:marLeft w:val="0"/>
          <w:marRight w:val="0"/>
          <w:marTop w:val="0"/>
          <w:marBottom w:val="15"/>
          <w:divBdr>
            <w:top w:val="single" w:sz="6" w:space="4" w:color="DBDBE4"/>
            <w:left w:val="single" w:sz="6" w:space="0" w:color="DBDBE4"/>
            <w:bottom w:val="single" w:sz="6" w:space="4" w:color="DBDBE4"/>
            <w:right w:val="single" w:sz="6" w:space="0" w:color="DBDBE4"/>
          </w:divBdr>
          <w:divsChild>
            <w:div w:id="1044716980">
              <w:marLeft w:val="0"/>
              <w:marRight w:val="0"/>
              <w:marTop w:val="0"/>
              <w:marBottom w:val="0"/>
              <w:divBdr>
                <w:top w:val="none" w:sz="0" w:space="0" w:color="auto"/>
                <w:left w:val="single" w:sz="6" w:space="11" w:color="DBDBE4"/>
                <w:bottom w:val="none" w:sz="0" w:space="0" w:color="auto"/>
                <w:right w:val="single" w:sz="6" w:space="11" w:color="DBDBE4"/>
              </w:divBdr>
            </w:div>
            <w:div w:id="47143824">
              <w:marLeft w:val="0"/>
              <w:marRight w:val="0"/>
              <w:marTop w:val="0"/>
              <w:marBottom w:val="0"/>
              <w:divBdr>
                <w:top w:val="none" w:sz="0" w:space="0" w:color="auto"/>
                <w:left w:val="none" w:sz="0" w:space="0" w:color="auto"/>
                <w:bottom w:val="none" w:sz="0" w:space="0" w:color="auto"/>
                <w:right w:val="none" w:sz="0" w:space="0" w:color="auto"/>
              </w:divBdr>
            </w:div>
          </w:divsChild>
        </w:div>
        <w:div w:id="242691698">
          <w:marLeft w:val="0"/>
          <w:marRight w:val="0"/>
          <w:marTop w:val="0"/>
          <w:marBottom w:val="15"/>
          <w:divBdr>
            <w:top w:val="single" w:sz="6" w:space="4" w:color="DBDBE4"/>
            <w:left w:val="single" w:sz="6" w:space="0" w:color="DBDBE4"/>
            <w:bottom w:val="single" w:sz="6" w:space="4" w:color="DBDBE4"/>
            <w:right w:val="single" w:sz="6" w:space="0" w:color="DBDBE4"/>
          </w:divBdr>
          <w:divsChild>
            <w:div w:id="1987778053">
              <w:marLeft w:val="0"/>
              <w:marRight w:val="0"/>
              <w:marTop w:val="0"/>
              <w:marBottom w:val="0"/>
              <w:divBdr>
                <w:top w:val="none" w:sz="0" w:space="0" w:color="auto"/>
                <w:left w:val="single" w:sz="6" w:space="11" w:color="DBDBE4"/>
                <w:bottom w:val="none" w:sz="0" w:space="0" w:color="auto"/>
                <w:right w:val="single" w:sz="6" w:space="11" w:color="DBDBE4"/>
              </w:divBdr>
            </w:div>
            <w:div w:id="1579024521">
              <w:marLeft w:val="0"/>
              <w:marRight w:val="0"/>
              <w:marTop w:val="0"/>
              <w:marBottom w:val="0"/>
              <w:divBdr>
                <w:top w:val="none" w:sz="0" w:space="0" w:color="auto"/>
                <w:left w:val="none" w:sz="0" w:space="0" w:color="auto"/>
                <w:bottom w:val="none" w:sz="0" w:space="0" w:color="auto"/>
                <w:right w:val="none" w:sz="0" w:space="0" w:color="auto"/>
              </w:divBdr>
            </w:div>
          </w:divsChild>
        </w:div>
        <w:div w:id="99880360">
          <w:marLeft w:val="0"/>
          <w:marRight w:val="0"/>
          <w:marTop w:val="0"/>
          <w:marBottom w:val="15"/>
          <w:divBdr>
            <w:top w:val="single" w:sz="6" w:space="4" w:color="DBDBE4"/>
            <w:left w:val="single" w:sz="6" w:space="0" w:color="DBDBE4"/>
            <w:bottom w:val="single" w:sz="6" w:space="4" w:color="DBDBE4"/>
            <w:right w:val="single" w:sz="6" w:space="0" w:color="DBDBE4"/>
          </w:divBdr>
          <w:divsChild>
            <w:div w:id="1858929168">
              <w:marLeft w:val="0"/>
              <w:marRight w:val="0"/>
              <w:marTop w:val="0"/>
              <w:marBottom w:val="0"/>
              <w:divBdr>
                <w:top w:val="none" w:sz="0" w:space="0" w:color="auto"/>
                <w:left w:val="single" w:sz="6" w:space="11" w:color="DBDBE4"/>
                <w:bottom w:val="none" w:sz="0" w:space="0" w:color="auto"/>
                <w:right w:val="single" w:sz="6" w:space="11" w:color="DBDBE4"/>
              </w:divBdr>
            </w:div>
            <w:div w:id="413284349">
              <w:marLeft w:val="0"/>
              <w:marRight w:val="0"/>
              <w:marTop w:val="0"/>
              <w:marBottom w:val="0"/>
              <w:divBdr>
                <w:top w:val="none" w:sz="0" w:space="0" w:color="auto"/>
                <w:left w:val="none" w:sz="0" w:space="0" w:color="auto"/>
                <w:bottom w:val="none" w:sz="0" w:space="0" w:color="auto"/>
                <w:right w:val="none" w:sz="0" w:space="0" w:color="auto"/>
              </w:divBdr>
            </w:div>
          </w:divsChild>
        </w:div>
        <w:div w:id="1992637063">
          <w:marLeft w:val="0"/>
          <w:marRight w:val="0"/>
          <w:marTop w:val="0"/>
          <w:marBottom w:val="15"/>
          <w:divBdr>
            <w:top w:val="single" w:sz="6" w:space="4" w:color="DBDBE4"/>
            <w:left w:val="single" w:sz="6" w:space="0" w:color="DBDBE4"/>
            <w:bottom w:val="single" w:sz="6" w:space="4" w:color="DBDBE4"/>
            <w:right w:val="single" w:sz="6" w:space="0" w:color="DBDBE4"/>
          </w:divBdr>
          <w:divsChild>
            <w:div w:id="1874607284">
              <w:marLeft w:val="0"/>
              <w:marRight w:val="0"/>
              <w:marTop w:val="0"/>
              <w:marBottom w:val="0"/>
              <w:divBdr>
                <w:top w:val="none" w:sz="0" w:space="0" w:color="auto"/>
                <w:left w:val="single" w:sz="6" w:space="11" w:color="DBDBE4"/>
                <w:bottom w:val="none" w:sz="0" w:space="0" w:color="auto"/>
                <w:right w:val="single" w:sz="6" w:space="11" w:color="DBDBE4"/>
              </w:divBdr>
            </w:div>
            <w:div w:id="1835100541">
              <w:marLeft w:val="0"/>
              <w:marRight w:val="0"/>
              <w:marTop w:val="0"/>
              <w:marBottom w:val="0"/>
              <w:divBdr>
                <w:top w:val="none" w:sz="0" w:space="0" w:color="auto"/>
                <w:left w:val="none" w:sz="0" w:space="0" w:color="auto"/>
                <w:bottom w:val="none" w:sz="0" w:space="0" w:color="auto"/>
                <w:right w:val="none" w:sz="0" w:space="0" w:color="auto"/>
              </w:divBdr>
            </w:div>
          </w:divsChild>
        </w:div>
        <w:div w:id="658316204">
          <w:marLeft w:val="0"/>
          <w:marRight w:val="0"/>
          <w:marTop w:val="0"/>
          <w:marBottom w:val="15"/>
          <w:divBdr>
            <w:top w:val="single" w:sz="6" w:space="4" w:color="DBDBE4"/>
            <w:left w:val="single" w:sz="6" w:space="0" w:color="DBDBE4"/>
            <w:bottom w:val="single" w:sz="6" w:space="4" w:color="DBDBE4"/>
            <w:right w:val="single" w:sz="6" w:space="0" w:color="DBDBE4"/>
          </w:divBdr>
          <w:divsChild>
            <w:div w:id="1963730038">
              <w:marLeft w:val="0"/>
              <w:marRight w:val="0"/>
              <w:marTop w:val="0"/>
              <w:marBottom w:val="0"/>
              <w:divBdr>
                <w:top w:val="none" w:sz="0" w:space="0" w:color="auto"/>
                <w:left w:val="single" w:sz="6" w:space="11" w:color="DBDBE4"/>
                <w:bottom w:val="none" w:sz="0" w:space="0" w:color="auto"/>
                <w:right w:val="single" w:sz="6" w:space="11" w:color="DBDBE4"/>
              </w:divBdr>
            </w:div>
            <w:div w:id="1260722572">
              <w:marLeft w:val="0"/>
              <w:marRight w:val="0"/>
              <w:marTop w:val="0"/>
              <w:marBottom w:val="0"/>
              <w:divBdr>
                <w:top w:val="none" w:sz="0" w:space="0" w:color="auto"/>
                <w:left w:val="none" w:sz="0" w:space="0" w:color="auto"/>
                <w:bottom w:val="none" w:sz="0" w:space="0" w:color="auto"/>
                <w:right w:val="none" w:sz="0" w:space="0" w:color="auto"/>
              </w:divBdr>
            </w:div>
          </w:divsChild>
        </w:div>
        <w:div w:id="1668291996">
          <w:marLeft w:val="0"/>
          <w:marRight w:val="0"/>
          <w:marTop w:val="0"/>
          <w:marBottom w:val="15"/>
          <w:divBdr>
            <w:top w:val="single" w:sz="6" w:space="4" w:color="DBDBE4"/>
            <w:left w:val="single" w:sz="6" w:space="0" w:color="DBDBE4"/>
            <w:bottom w:val="single" w:sz="6" w:space="4" w:color="DBDBE4"/>
            <w:right w:val="single" w:sz="6" w:space="0" w:color="DBDBE4"/>
          </w:divBdr>
          <w:divsChild>
            <w:div w:id="861358768">
              <w:marLeft w:val="0"/>
              <w:marRight w:val="0"/>
              <w:marTop w:val="0"/>
              <w:marBottom w:val="0"/>
              <w:divBdr>
                <w:top w:val="none" w:sz="0" w:space="0" w:color="auto"/>
                <w:left w:val="single" w:sz="6" w:space="11" w:color="DBDBE4"/>
                <w:bottom w:val="none" w:sz="0" w:space="0" w:color="auto"/>
                <w:right w:val="single" w:sz="6" w:space="11" w:color="DBDBE4"/>
              </w:divBdr>
            </w:div>
            <w:div w:id="1529217727">
              <w:marLeft w:val="0"/>
              <w:marRight w:val="0"/>
              <w:marTop w:val="0"/>
              <w:marBottom w:val="0"/>
              <w:divBdr>
                <w:top w:val="none" w:sz="0" w:space="0" w:color="auto"/>
                <w:left w:val="none" w:sz="0" w:space="0" w:color="auto"/>
                <w:bottom w:val="none" w:sz="0" w:space="0" w:color="auto"/>
                <w:right w:val="none" w:sz="0" w:space="0" w:color="auto"/>
              </w:divBdr>
            </w:div>
          </w:divsChild>
        </w:div>
        <w:div w:id="617294109">
          <w:marLeft w:val="0"/>
          <w:marRight w:val="0"/>
          <w:marTop w:val="0"/>
          <w:marBottom w:val="15"/>
          <w:divBdr>
            <w:top w:val="single" w:sz="6" w:space="4" w:color="DBDBE4"/>
            <w:left w:val="single" w:sz="6" w:space="0" w:color="DBDBE4"/>
            <w:bottom w:val="single" w:sz="6" w:space="4" w:color="DBDBE4"/>
            <w:right w:val="single" w:sz="6" w:space="0" w:color="DBDBE4"/>
          </w:divBdr>
          <w:divsChild>
            <w:div w:id="1992364284">
              <w:marLeft w:val="0"/>
              <w:marRight w:val="0"/>
              <w:marTop w:val="0"/>
              <w:marBottom w:val="0"/>
              <w:divBdr>
                <w:top w:val="none" w:sz="0" w:space="0" w:color="auto"/>
                <w:left w:val="single" w:sz="6" w:space="11" w:color="DBDBE4"/>
                <w:bottom w:val="none" w:sz="0" w:space="0" w:color="auto"/>
                <w:right w:val="single" w:sz="6" w:space="11" w:color="DBDBE4"/>
              </w:divBdr>
            </w:div>
            <w:div w:id="573010419">
              <w:marLeft w:val="0"/>
              <w:marRight w:val="0"/>
              <w:marTop w:val="0"/>
              <w:marBottom w:val="0"/>
              <w:divBdr>
                <w:top w:val="none" w:sz="0" w:space="0" w:color="auto"/>
                <w:left w:val="none" w:sz="0" w:space="0" w:color="auto"/>
                <w:bottom w:val="none" w:sz="0" w:space="0" w:color="auto"/>
                <w:right w:val="none" w:sz="0" w:space="0" w:color="auto"/>
              </w:divBdr>
            </w:div>
          </w:divsChild>
        </w:div>
        <w:div w:id="1205602000">
          <w:marLeft w:val="0"/>
          <w:marRight w:val="0"/>
          <w:marTop w:val="0"/>
          <w:marBottom w:val="15"/>
          <w:divBdr>
            <w:top w:val="single" w:sz="6" w:space="4" w:color="DBDBE4"/>
            <w:left w:val="single" w:sz="6" w:space="0" w:color="DBDBE4"/>
            <w:bottom w:val="single" w:sz="6" w:space="4" w:color="DBDBE4"/>
            <w:right w:val="single" w:sz="6" w:space="0" w:color="DBDBE4"/>
          </w:divBdr>
          <w:divsChild>
            <w:div w:id="1125343322">
              <w:marLeft w:val="0"/>
              <w:marRight w:val="0"/>
              <w:marTop w:val="0"/>
              <w:marBottom w:val="0"/>
              <w:divBdr>
                <w:top w:val="none" w:sz="0" w:space="0" w:color="auto"/>
                <w:left w:val="single" w:sz="6" w:space="11" w:color="DBDBE4"/>
                <w:bottom w:val="none" w:sz="0" w:space="0" w:color="auto"/>
                <w:right w:val="single" w:sz="6" w:space="11" w:color="DBDBE4"/>
              </w:divBdr>
            </w:div>
            <w:div w:id="2061316238">
              <w:marLeft w:val="0"/>
              <w:marRight w:val="0"/>
              <w:marTop w:val="0"/>
              <w:marBottom w:val="0"/>
              <w:divBdr>
                <w:top w:val="none" w:sz="0" w:space="0" w:color="auto"/>
                <w:left w:val="none" w:sz="0" w:space="0" w:color="auto"/>
                <w:bottom w:val="none" w:sz="0" w:space="0" w:color="auto"/>
                <w:right w:val="none" w:sz="0" w:space="0" w:color="auto"/>
              </w:divBdr>
            </w:div>
          </w:divsChild>
        </w:div>
        <w:div w:id="425463883">
          <w:marLeft w:val="0"/>
          <w:marRight w:val="0"/>
          <w:marTop w:val="0"/>
          <w:marBottom w:val="15"/>
          <w:divBdr>
            <w:top w:val="single" w:sz="6" w:space="4" w:color="DBDBE4"/>
            <w:left w:val="single" w:sz="6" w:space="0" w:color="DBDBE4"/>
            <w:bottom w:val="single" w:sz="6" w:space="4" w:color="DBDBE4"/>
            <w:right w:val="single" w:sz="6" w:space="0" w:color="DBDBE4"/>
          </w:divBdr>
          <w:divsChild>
            <w:div w:id="1664551212">
              <w:marLeft w:val="0"/>
              <w:marRight w:val="0"/>
              <w:marTop w:val="0"/>
              <w:marBottom w:val="0"/>
              <w:divBdr>
                <w:top w:val="none" w:sz="0" w:space="0" w:color="auto"/>
                <w:left w:val="single" w:sz="6" w:space="11" w:color="DBDBE4"/>
                <w:bottom w:val="none" w:sz="0" w:space="0" w:color="auto"/>
                <w:right w:val="single" w:sz="6" w:space="11" w:color="DBDBE4"/>
              </w:divBdr>
            </w:div>
            <w:div w:id="1450858142">
              <w:marLeft w:val="0"/>
              <w:marRight w:val="0"/>
              <w:marTop w:val="0"/>
              <w:marBottom w:val="0"/>
              <w:divBdr>
                <w:top w:val="none" w:sz="0" w:space="0" w:color="auto"/>
                <w:left w:val="none" w:sz="0" w:space="0" w:color="auto"/>
                <w:bottom w:val="none" w:sz="0" w:space="0" w:color="auto"/>
                <w:right w:val="none" w:sz="0" w:space="0" w:color="auto"/>
              </w:divBdr>
            </w:div>
          </w:divsChild>
        </w:div>
        <w:div w:id="83888438">
          <w:marLeft w:val="0"/>
          <w:marRight w:val="0"/>
          <w:marTop w:val="0"/>
          <w:marBottom w:val="15"/>
          <w:divBdr>
            <w:top w:val="single" w:sz="6" w:space="4" w:color="DBDBE4"/>
            <w:left w:val="single" w:sz="6" w:space="0" w:color="DBDBE4"/>
            <w:bottom w:val="single" w:sz="6" w:space="4" w:color="DBDBE4"/>
            <w:right w:val="single" w:sz="6" w:space="0" w:color="DBDBE4"/>
          </w:divBdr>
          <w:divsChild>
            <w:div w:id="703601085">
              <w:marLeft w:val="0"/>
              <w:marRight w:val="0"/>
              <w:marTop w:val="0"/>
              <w:marBottom w:val="0"/>
              <w:divBdr>
                <w:top w:val="none" w:sz="0" w:space="0" w:color="auto"/>
                <w:left w:val="single" w:sz="6" w:space="11" w:color="DBDBE4"/>
                <w:bottom w:val="none" w:sz="0" w:space="0" w:color="auto"/>
                <w:right w:val="single" w:sz="6" w:space="11" w:color="DBDBE4"/>
              </w:divBdr>
            </w:div>
            <w:div w:id="2123837253">
              <w:marLeft w:val="0"/>
              <w:marRight w:val="0"/>
              <w:marTop w:val="0"/>
              <w:marBottom w:val="0"/>
              <w:divBdr>
                <w:top w:val="none" w:sz="0" w:space="0" w:color="auto"/>
                <w:left w:val="none" w:sz="0" w:space="0" w:color="auto"/>
                <w:bottom w:val="none" w:sz="0" w:space="0" w:color="auto"/>
                <w:right w:val="none" w:sz="0" w:space="0" w:color="auto"/>
              </w:divBdr>
            </w:div>
          </w:divsChild>
        </w:div>
        <w:div w:id="889344027">
          <w:marLeft w:val="0"/>
          <w:marRight w:val="0"/>
          <w:marTop w:val="0"/>
          <w:marBottom w:val="15"/>
          <w:divBdr>
            <w:top w:val="single" w:sz="6" w:space="4" w:color="DBDBE4"/>
            <w:left w:val="single" w:sz="6" w:space="0" w:color="DBDBE4"/>
            <w:bottom w:val="single" w:sz="6" w:space="4" w:color="DBDBE4"/>
            <w:right w:val="single" w:sz="6" w:space="0" w:color="DBDBE4"/>
          </w:divBdr>
          <w:divsChild>
            <w:div w:id="1416127876">
              <w:marLeft w:val="0"/>
              <w:marRight w:val="0"/>
              <w:marTop w:val="0"/>
              <w:marBottom w:val="0"/>
              <w:divBdr>
                <w:top w:val="none" w:sz="0" w:space="0" w:color="auto"/>
                <w:left w:val="single" w:sz="6" w:space="11" w:color="DBDBE4"/>
                <w:bottom w:val="none" w:sz="0" w:space="0" w:color="auto"/>
                <w:right w:val="single" w:sz="6" w:space="11" w:color="DBDBE4"/>
              </w:divBdr>
            </w:div>
            <w:div w:id="806819362">
              <w:marLeft w:val="0"/>
              <w:marRight w:val="0"/>
              <w:marTop w:val="0"/>
              <w:marBottom w:val="0"/>
              <w:divBdr>
                <w:top w:val="none" w:sz="0" w:space="0" w:color="auto"/>
                <w:left w:val="none" w:sz="0" w:space="0" w:color="auto"/>
                <w:bottom w:val="none" w:sz="0" w:space="0" w:color="auto"/>
                <w:right w:val="none" w:sz="0" w:space="0" w:color="auto"/>
              </w:divBdr>
            </w:div>
          </w:divsChild>
        </w:div>
        <w:div w:id="1055852626">
          <w:marLeft w:val="0"/>
          <w:marRight w:val="0"/>
          <w:marTop w:val="0"/>
          <w:marBottom w:val="15"/>
          <w:divBdr>
            <w:top w:val="single" w:sz="6" w:space="4" w:color="DBDBE4"/>
            <w:left w:val="single" w:sz="6" w:space="0" w:color="DBDBE4"/>
            <w:bottom w:val="single" w:sz="6" w:space="4" w:color="DBDBE4"/>
            <w:right w:val="single" w:sz="6" w:space="0" w:color="DBDBE4"/>
          </w:divBdr>
          <w:divsChild>
            <w:div w:id="920218282">
              <w:marLeft w:val="0"/>
              <w:marRight w:val="0"/>
              <w:marTop w:val="0"/>
              <w:marBottom w:val="0"/>
              <w:divBdr>
                <w:top w:val="none" w:sz="0" w:space="0" w:color="auto"/>
                <w:left w:val="single" w:sz="6" w:space="11" w:color="DBDBE4"/>
                <w:bottom w:val="none" w:sz="0" w:space="0" w:color="auto"/>
                <w:right w:val="single" w:sz="6" w:space="11" w:color="DBDBE4"/>
              </w:divBdr>
            </w:div>
            <w:div w:id="882061364">
              <w:marLeft w:val="0"/>
              <w:marRight w:val="0"/>
              <w:marTop w:val="0"/>
              <w:marBottom w:val="0"/>
              <w:divBdr>
                <w:top w:val="none" w:sz="0" w:space="0" w:color="auto"/>
                <w:left w:val="none" w:sz="0" w:space="0" w:color="auto"/>
                <w:bottom w:val="none" w:sz="0" w:space="0" w:color="auto"/>
                <w:right w:val="none" w:sz="0" w:space="0" w:color="auto"/>
              </w:divBdr>
            </w:div>
          </w:divsChild>
        </w:div>
        <w:div w:id="1267077108">
          <w:marLeft w:val="0"/>
          <w:marRight w:val="0"/>
          <w:marTop w:val="0"/>
          <w:marBottom w:val="15"/>
          <w:divBdr>
            <w:top w:val="single" w:sz="6" w:space="4" w:color="DBDBE4"/>
            <w:left w:val="single" w:sz="6" w:space="0" w:color="DBDBE4"/>
            <w:bottom w:val="single" w:sz="6" w:space="4" w:color="DBDBE4"/>
            <w:right w:val="single" w:sz="6" w:space="0" w:color="DBDBE4"/>
          </w:divBdr>
          <w:divsChild>
            <w:div w:id="784270461">
              <w:marLeft w:val="0"/>
              <w:marRight w:val="0"/>
              <w:marTop w:val="0"/>
              <w:marBottom w:val="0"/>
              <w:divBdr>
                <w:top w:val="none" w:sz="0" w:space="0" w:color="auto"/>
                <w:left w:val="single" w:sz="6" w:space="11" w:color="DBDBE4"/>
                <w:bottom w:val="none" w:sz="0" w:space="0" w:color="auto"/>
                <w:right w:val="single" w:sz="6" w:space="11" w:color="DBDBE4"/>
              </w:divBdr>
            </w:div>
            <w:div w:id="1267690162">
              <w:marLeft w:val="0"/>
              <w:marRight w:val="0"/>
              <w:marTop w:val="0"/>
              <w:marBottom w:val="0"/>
              <w:divBdr>
                <w:top w:val="none" w:sz="0" w:space="0" w:color="auto"/>
                <w:left w:val="none" w:sz="0" w:space="0" w:color="auto"/>
                <w:bottom w:val="none" w:sz="0" w:space="0" w:color="auto"/>
                <w:right w:val="none" w:sz="0" w:space="0" w:color="auto"/>
              </w:divBdr>
            </w:div>
          </w:divsChild>
        </w:div>
        <w:div w:id="1987776156">
          <w:marLeft w:val="0"/>
          <w:marRight w:val="0"/>
          <w:marTop w:val="0"/>
          <w:marBottom w:val="15"/>
          <w:divBdr>
            <w:top w:val="single" w:sz="6" w:space="4" w:color="DBDBE4"/>
            <w:left w:val="single" w:sz="6" w:space="0" w:color="DBDBE4"/>
            <w:bottom w:val="single" w:sz="6" w:space="4" w:color="DBDBE4"/>
            <w:right w:val="single" w:sz="6" w:space="0" w:color="DBDBE4"/>
          </w:divBdr>
          <w:divsChild>
            <w:div w:id="342634307">
              <w:marLeft w:val="0"/>
              <w:marRight w:val="0"/>
              <w:marTop w:val="0"/>
              <w:marBottom w:val="0"/>
              <w:divBdr>
                <w:top w:val="none" w:sz="0" w:space="0" w:color="auto"/>
                <w:left w:val="single" w:sz="6" w:space="11" w:color="DBDBE4"/>
                <w:bottom w:val="none" w:sz="0" w:space="0" w:color="auto"/>
                <w:right w:val="single" w:sz="6" w:space="11" w:color="DBDBE4"/>
              </w:divBdr>
            </w:div>
            <w:div w:id="1120345533">
              <w:marLeft w:val="0"/>
              <w:marRight w:val="0"/>
              <w:marTop w:val="0"/>
              <w:marBottom w:val="0"/>
              <w:divBdr>
                <w:top w:val="none" w:sz="0" w:space="0" w:color="auto"/>
                <w:left w:val="none" w:sz="0" w:space="0" w:color="auto"/>
                <w:bottom w:val="none" w:sz="0" w:space="0" w:color="auto"/>
                <w:right w:val="none" w:sz="0" w:space="0" w:color="auto"/>
              </w:divBdr>
            </w:div>
          </w:divsChild>
        </w:div>
        <w:div w:id="151217248">
          <w:marLeft w:val="0"/>
          <w:marRight w:val="0"/>
          <w:marTop w:val="0"/>
          <w:marBottom w:val="15"/>
          <w:divBdr>
            <w:top w:val="single" w:sz="6" w:space="4" w:color="DBDBE4"/>
            <w:left w:val="single" w:sz="6" w:space="0" w:color="DBDBE4"/>
            <w:bottom w:val="single" w:sz="6" w:space="4" w:color="DBDBE4"/>
            <w:right w:val="single" w:sz="6" w:space="0" w:color="DBDBE4"/>
          </w:divBdr>
          <w:divsChild>
            <w:div w:id="102696817">
              <w:marLeft w:val="0"/>
              <w:marRight w:val="0"/>
              <w:marTop w:val="0"/>
              <w:marBottom w:val="0"/>
              <w:divBdr>
                <w:top w:val="none" w:sz="0" w:space="0" w:color="auto"/>
                <w:left w:val="single" w:sz="6" w:space="11" w:color="DBDBE4"/>
                <w:bottom w:val="none" w:sz="0" w:space="0" w:color="auto"/>
                <w:right w:val="single" w:sz="6" w:space="11" w:color="DBDBE4"/>
              </w:divBdr>
            </w:div>
            <w:div w:id="1979147581">
              <w:marLeft w:val="0"/>
              <w:marRight w:val="0"/>
              <w:marTop w:val="0"/>
              <w:marBottom w:val="0"/>
              <w:divBdr>
                <w:top w:val="none" w:sz="0" w:space="0" w:color="auto"/>
                <w:left w:val="none" w:sz="0" w:space="0" w:color="auto"/>
                <w:bottom w:val="none" w:sz="0" w:space="0" w:color="auto"/>
                <w:right w:val="none" w:sz="0" w:space="0" w:color="auto"/>
              </w:divBdr>
            </w:div>
          </w:divsChild>
        </w:div>
        <w:div w:id="562645009">
          <w:marLeft w:val="0"/>
          <w:marRight w:val="0"/>
          <w:marTop w:val="0"/>
          <w:marBottom w:val="15"/>
          <w:divBdr>
            <w:top w:val="single" w:sz="6" w:space="4" w:color="DBDBE4"/>
            <w:left w:val="single" w:sz="6" w:space="0" w:color="DBDBE4"/>
            <w:bottom w:val="single" w:sz="6" w:space="4" w:color="DBDBE4"/>
            <w:right w:val="single" w:sz="6" w:space="0" w:color="DBDBE4"/>
          </w:divBdr>
          <w:divsChild>
            <w:div w:id="1691834586">
              <w:marLeft w:val="0"/>
              <w:marRight w:val="0"/>
              <w:marTop w:val="0"/>
              <w:marBottom w:val="0"/>
              <w:divBdr>
                <w:top w:val="none" w:sz="0" w:space="0" w:color="auto"/>
                <w:left w:val="single" w:sz="6" w:space="11" w:color="DBDBE4"/>
                <w:bottom w:val="none" w:sz="0" w:space="0" w:color="auto"/>
                <w:right w:val="single" w:sz="6" w:space="11" w:color="DBDBE4"/>
              </w:divBdr>
            </w:div>
            <w:div w:id="952712467">
              <w:marLeft w:val="0"/>
              <w:marRight w:val="0"/>
              <w:marTop w:val="0"/>
              <w:marBottom w:val="0"/>
              <w:divBdr>
                <w:top w:val="none" w:sz="0" w:space="0" w:color="auto"/>
                <w:left w:val="none" w:sz="0" w:space="0" w:color="auto"/>
                <w:bottom w:val="none" w:sz="0" w:space="0" w:color="auto"/>
                <w:right w:val="none" w:sz="0" w:space="0" w:color="auto"/>
              </w:divBdr>
            </w:div>
          </w:divsChild>
        </w:div>
        <w:div w:id="288979075">
          <w:marLeft w:val="0"/>
          <w:marRight w:val="0"/>
          <w:marTop w:val="0"/>
          <w:marBottom w:val="15"/>
          <w:divBdr>
            <w:top w:val="single" w:sz="6" w:space="4" w:color="DBDBE4"/>
            <w:left w:val="single" w:sz="6" w:space="0" w:color="DBDBE4"/>
            <w:bottom w:val="single" w:sz="6" w:space="4" w:color="DBDBE4"/>
            <w:right w:val="single" w:sz="6" w:space="0" w:color="DBDBE4"/>
          </w:divBdr>
          <w:divsChild>
            <w:div w:id="1624992244">
              <w:marLeft w:val="0"/>
              <w:marRight w:val="0"/>
              <w:marTop w:val="0"/>
              <w:marBottom w:val="0"/>
              <w:divBdr>
                <w:top w:val="none" w:sz="0" w:space="0" w:color="auto"/>
                <w:left w:val="single" w:sz="6" w:space="11" w:color="DBDBE4"/>
                <w:bottom w:val="none" w:sz="0" w:space="0" w:color="auto"/>
                <w:right w:val="single" w:sz="6" w:space="11" w:color="DBDBE4"/>
              </w:divBdr>
            </w:div>
            <w:div w:id="1273854948">
              <w:marLeft w:val="0"/>
              <w:marRight w:val="0"/>
              <w:marTop w:val="0"/>
              <w:marBottom w:val="0"/>
              <w:divBdr>
                <w:top w:val="none" w:sz="0" w:space="0" w:color="auto"/>
                <w:left w:val="none" w:sz="0" w:space="0" w:color="auto"/>
                <w:bottom w:val="none" w:sz="0" w:space="0" w:color="auto"/>
                <w:right w:val="none" w:sz="0" w:space="0" w:color="auto"/>
              </w:divBdr>
            </w:div>
          </w:divsChild>
        </w:div>
        <w:div w:id="1271473386">
          <w:marLeft w:val="0"/>
          <w:marRight w:val="0"/>
          <w:marTop w:val="0"/>
          <w:marBottom w:val="15"/>
          <w:divBdr>
            <w:top w:val="single" w:sz="6" w:space="4" w:color="DBDBE4"/>
            <w:left w:val="single" w:sz="6" w:space="0" w:color="DBDBE4"/>
            <w:bottom w:val="single" w:sz="6" w:space="4" w:color="DBDBE4"/>
            <w:right w:val="single" w:sz="6" w:space="0" w:color="DBDBE4"/>
          </w:divBdr>
          <w:divsChild>
            <w:div w:id="1801334947">
              <w:marLeft w:val="0"/>
              <w:marRight w:val="0"/>
              <w:marTop w:val="0"/>
              <w:marBottom w:val="0"/>
              <w:divBdr>
                <w:top w:val="none" w:sz="0" w:space="0" w:color="auto"/>
                <w:left w:val="single" w:sz="6" w:space="11" w:color="DBDBE4"/>
                <w:bottom w:val="none" w:sz="0" w:space="0" w:color="auto"/>
                <w:right w:val="single" w:sz="6" w:space="11" w:color="DBDBE4"/>
              </w:divBdr>
            </w:div>
            <w:div w:id="1977952481">
              <w:marLeft w:val="0"/>
              <w:marRight w:val="0"/>
              <w:marTop w:val="0"/>
              <w:marBottom w:val="0"/>
              <w:divBdr>
                <w:top w:val="none" w:sz="0" w:space="0" w:color="auto"/>
                <w:left w:val="none" w:sz="0" w:space="0" w:color="auto"/>
                <w:bottom w:val="none" w:sz="0" w:space="0" w:color="auto"/>
                <w:right w:val="none" w:sz="0" w:space="0" w:color="auto"/>
              </w:divBdr>
            </w:div>
          </w:divsChild>
        </w:div>
        <w:div w:id="1347243971">
          <w:marLeft w:val="0"/>
          <w:marRight w:val="0"/>
          <w:marTop w:val="0"/>
          <w:marBottom w:val="15"/>
          <w:divBdr>
            <w:top w:val="single" w:sz="6" w:space="4" w:color="DBDBE4"/>
            <w:left w:val="single" w:sz="6" w:space="0" w:color="DBDBE4"/>
            <w:bottom w:val="single" w:sz="6" w:space="4" w:color="DBDBE4"/>
            <w:right w:val="single" w:sz="6" w:space="0" w:color="DBDBE4"/>
          </w:divBdr>
          <w:divsChild>
            <w:div w:id="874151811">
              <w:marLeft w:val="0"/>
              <w:marRight w:val="0"/>
              <w:marTop w:val="0"/>
              <w:marBottom w:val="0"/>
              <w:divBdr>
                <w:top w:val="none" w:sz="0" w:space="0" w:color="auto"/>
                <w:left w:val="single" w:sz="6" w:space="11" w:color="DBDBE4"/>
                <w:bottom w:val="none" w:sz="0" w:space="0" w:color="auto"/>
                <w:right w:val="single" w:sz="6" w:space="11" w:color="DBDBE4"/>
              </w:divBdr>
            </w:div>
            <w:div w:id="48505627">
              <w:marLeft w:val="0"/>
              <w:marRight w:val="0"/>
              <w:marTop w:val="0"/>
              <w:marBottom w:val="0"/>
              <w:divBdr>
                <w:top w:val="none" w:sz="0" w:space="0" w:color="auto"/>
                <w:left w:val="none" w:sz="0" w:space="0" w:color="auto"/>
                <w:bottom w:val="none" w:sz="0" w:space="0" w:color="auto"/>
                <w:right w:val="none" w:sz="0" w:space="0" w:color="auto"/>
              </w:divBdr>
            </w:div>
          </w:divsChild>
        </w:div>
        <w:div w:id="1356538432">
          <w:marLeft w:val="0"/>
          <w:marRight w:val="0"/>
          <w:marTop w:val="0"/>
          <w:marBottom w:val="15"/>
          <w:divBdr>
            <w:top w:val="single" w:sz="6" w:space="4" w:color="DBDBE4"/>
            <w:left w:val="single" w:sz="6" w:space="0" w:color="DBDBE4"/>
            <w:bottom w:val="single" w:sz="6" w:space="4" w:color="DBDBE4"/>
            <w:right w:val="single" w:sz="6" w:space="0" w:color="DBDBE4"/>
          </w:divBdr>
          <w:divsChild>
            <w:div w:id="472412035">
              <w:marLeft w:val="0"/>
              <w:marRight w:val="0"/>
              <w:marTop w:val="0"/>
              <w:marBottom w:val="0"/>
              <w:divBdr>
                <w:top w:val="none" w:sz="0" w:space="0" w:color="auto"/>
                <w:left w:val="single" w:sz="6" w:space="11" w:color="DBDBE4"/>
                <w:bottom w:val="none" w:sz="0" w:space="0" w:color="auto"/>
                <w:right w:val="single" w:sz="6" w:space="11" w:color="DBDBE4"/>
              </w:divBdr>
            </w:div>
            <w:div w:id="524904814">
              <w:marLeft w:val="0"/>
              <w:marRight w:val="0"/>
              <w:marTop w:val="0"/>
              <w:marBottom w:val="0"/>
              <w:divBdr>
                <w:top w:val="none" w:sz="0" w:space="0" w:color="auto"/>
                <w:left w:val="none" w:sz="0" w:space="0" w:color="auto"/>
                <w:bottom w:val="none" w:sz="0" w:space="0" w:color="auto"/>
                <w:right w:val="none" w:sz="0" w:space="0" w:color="auto"/>
              </w:divBdr>
            </w:div>
          </w:divsChild>
        </w:div>
        <w:div w:id="1260136195">
          <w:marLeft w:val="0"/>
          <w:marRight w:val="0"/>
          <w:marTop w:val="0"/>
          <w:marBottom w:val="15"/>
          <w:divBdr>
            <w:top w:val="single" w:sz="6" w:space="4" w:color="DBDBE4"/>
            <w:left w:val="single" w:sz="6" w:space="0" w:color="DBDBE4"/>
            <w:bottom w:val="single" w:sz="6" w:space="4" w:color="DBDBE4"/>
            <w:right w:val="single" w:sz="6" w:space="0" w:color="DBDBE4"/>
          </w:divBdr>
          <w:divsChild>
            <w:div w:id="131362763">
              <w:marLeft w:val="0"/>
              <w:marRight w:val="0"/>
              <w:marTop w:val="0"/>
              <w:marBottom w:val="0"/>
              <w:divBdr>
                <w:top w:val="none" w:sz="0" w:space="0" w:color="auto"/>
                <w:left w:val="single" w:sz="6" w:space="11" w:color="DBDBE4"/>
                <w:bottom w:val="none" w:sz="0" w:space="0" w:color="auto"/>
                <w:right w:val="single" w:sz="6" w:space="11" w:color="DBDBE4"/>
              </w:divBdr>
            </w:div>
            <w:div w:id="1692995513">
              <w:marLeft w:val="0"/>
              <w:marRight w:val="0"/>
              <w:marTop w:val="0"/>
              <w:marBottom w:val="0"/>
              <w:divBdr>
                <w:top w:val="none" w:sz="0" w:space="0" w:color="auto"/>
                <w:left w:val="none" w:sz="0" w:space="0" w:color="auto"/>
                <w:bottom w:val="none" w:sz="0" w:space="0" w:color="auto"/>
                <w:right w:val="none" w:sz="0" w:space="0" w:color="auto"/>
              </w:divBdr>
            </w:div>
          </w:divsChild>
        </w:div>
        <w:div w:id="1761295079">
          <w:marLeft w:val="0"/>
          <w:marRight w:val="0"/>
          <w:marTop w:val="0"/>
          <w:marBottom w:val="15"/>
          <w:divBdr>
            <w:top w:val="single" w:sz="6" w:space="4" w:color="DBDBE4"/>
            <w:left w:val="single" w:sz="6" w:space="0" w:color="DBDBE4"/>
            <w:bottom w:val="single" w:sz="6" w:space="4" w:color="DBDBE4"/>
            <w:right w:val="single" w:sz="6" w:space="0" w:color="DBDBE4"/>
          </w:divBdr>
          <w:divsChild>
            <w:div w:id="766384779">
              <w:marLeft w:val="0"/>
              <w:marRight w:val="0"/>
              <w:marTop w:val="0"/>
              <w:marBottom w:val="0"/>
              <w:divBdr>
                <w:top w:val="none" w:sz="0" w:space="0" w:color="auto"/>
                <w:left w:val="single" w:sz="6" w:space="11" w:color="DBDBE4"/>
                <w:bottom w:val="none" w:sz="0" w:space="0" w:color="auto"/>
                <w:right w:val="single" w:sz="6" w:space="11" w:color="DBDBE4"/>
              </w:divBdr>
            </w:div>
            <w:div w:id="1437411220">
              <w:marLeft w:val="0"/>
              <w:marRight w:val="0"/>
              <w:marTop w:val="0"/>
              <w:marBottom w:val="0"/>
              <w:divBdr>
                <w:top w:val="none" w:sz="0" w:space="0" w:color="auto"/>
                <w:left w:val="none" w:sz="0" w:space="0" w:color="auto"/>
                <w:bottom w:val="none" w:sz="0" w:space="0" w:color="auto"/>
                <w:right w:val="none" w:sz="0" w:space="0" w:color="auto"/>
              </w:divBdr>
            </w:div>
          </w:divsChild>
        </w:div>
        <w:div w:id="1853520693">
          <w:marLeft w:val="0"/>
          <w:marRight w:val="0"/>
          <w:marTop w:val="0"/>
          <w:marBottom w:val="15"/>
          <w:divBdr>
            <w:top w:val="single" w:sz="6" w:space="4" w:color="DBDBE4"/>
            <w:left w:val="single" w:sz="6" w:space="0" w:color="DBDBE4"/>
            <w:bottom w:val="single" w:sz="6" w:space="4" w:color="DBDBE4"/>
            <w:right w:val="single" w:sz="6" w:space="0" w:color="DBDBE4"/>
          </w:divBdr>
          <w:divsChild>
            <w:div w:id="1424643119">
              <w:marLeft w:val="0"/>
              <w:marRight w:val="0"/>
              <w:marTop w:val="0"/>
              <w:marBottom w:val="0"/>
              <w:divBdr>
                <w:top w:val="none" w:sz="0" w:space="0" w:color="auto"/>
                <w:left w:val="single" w:sz="6" w:space="11" w:color="DBDBE4"/>
                <w:bottom w:val="none" w:sz="0" w:space="0" w:color="auto"/>
                <w:right w:val="single" w:sz="6" w:space="11" w:color="DBDBE4"/>
              </w:divBdr>
            </w:div>
            <w:div w:id="532033716">
              <w:marLeft w:val="0"/>
              <w:marRight w:val="0"/>
              <w:marTop w:val="0"/>
              <w:marBottom w:val="0"/>
              <w:divBdr>
                <w:top w:val="none" w:sz="0" w:space="0" w:color="auto"/>
                <w:left w:val="none" w:sz="0" w:space="0" w:color="auto"/>
                <w:bottom w:val="none" w:sz="0" w:space="0" w:color="auto"/>
                <w:right w:val="none" w:sz="0" w:space="0" w:color="auto"/>
              </w:divBdr>
            </w:div>
          </w:divsChild>
        </w:div>
        <w:div w:id="772633788">
          <w:marLeft w:val="0"/>
          <w:marRight w:val="0"/>
          <w:marTop w:val="0"/>
          <w:marBottom w:val="15"/>
          <w:divBdr>
            <w:top w:val="single" w:sz="6" w:space="4" w:color="DBDBE4"/>
            <w:left w:val="single" w:sz="6" w:space="0" w:color="DBDBE4"/>
            <w:bottom w:val="single" w:sz="6" w:space="4" w:color="DBDBE4"/>
            <w:right w:val="single" w:sz="6" w:space="0" w:color="DBDBE4"/>
          </w:divBdr>
          <w:divsChild>
            <w:div w:id="986740692">
              <w:marLeft w:val="0"/>
              <w:marRight w:val="0"/>
              <w:marTop w:val="0"/>
              <w:marBottom w:val="0"/>
              <w:divBdr>
                <w:top w:val="none" w:sz="0" w:space="0" w:color="auto"/>
                <w:left w:val="single" w:sz="6" w:space="11" w:color="DBDBE4"/>
                <w:bottom w:val="none" w:sz="0" w:space="0" w:color="auto"/>
                <w:right w:val="single" w:sz="6" w:space="11" w:color="DBDBE4"/>
              </w:divBdr>
            </w:div>
            <w:div w:id="1055204599">
              <w:marLeft w:val="0"/>
              <w:marRight w:val="0"/>
              <w:marTop w:val="0"/>
              <w:marBottom w:val="0"/>
              <w:divBdr>
                <w:top w:val="none" w:sz="0" w:space="0" w:color="auto"/>
                <w:left w:val="none" w:sz="0" w:space="0" w:color="auto"/>
                <w:bottom w:val="none" w:sz="0" w:space="0" w:color="auto"/>
                <w:right w:val="none" w:sz="0" w:space="0" w:color="auto"/>
              </w:divBdr>
            </w:div>
          </w:divsChild>
        </w:div>
        <w:div w:id="2097364285">
          <w:marLeft w:val="0"/>
          <w:marRight w:val="0"/>
          <w:marTop w:val="0"/>
          <w:marBottom w:val="15"/>
          <w:divBdr>
            <w:top w:val="single" w:sz="6" w:space="4" w:color="DBDBE4"/>
            <w:left w:val="single" w:sz="6" w:space="0" w:color="DBDBE4"/>
            <w:bottom w:val="single" w:sz="6" w:space="4" w:color="DBDBE4"/>
            <w:right w:val="single" w:sz="6" w:space="0" w:color="DBDBE4"/>
          </w:divBdr>
          <w:divsChild>
            <w:div w:id="113839757">
              <w:marLeft w:val="0"/>
              <w:marRight w:val="0"/>
              <w:marTop w:val="0"/>
              <w:marBottom w:val="0"/>
              <w:divBdr>
                <w:top w:val="none" w:sz="0" w:space="0" w:color="auto"/>
                <w:left w:val="single" w:sz="6" w:space="11" w:color="DBDBE4"/>
                <w:bottom w:val="none" w:sz="0" w:space="0" w:color="auto"/>
                <w:right w:val="single" w:sz="6" w:space="11" w:color="DBDBE4"/>
              </w:divBdr>
            </w:div>
            <w:div w:id="971981945">
              <w:marLeft w:val="0"/>
              <w:marRight w:val="0"/>
              <w:marTop w:val="0"/>
              <w:marBottom w:val="0"/>
              <w:divBdr>
                <w:top w:val="none" w:sz="0" w:space="0" w:color="auto"/>
                <w:left w:val="none" w:sz="0" w:space="0" w:color="auto"/>
                <w:bottom w:val="none" w:sz="0" w:space="0" w:color="auto"/>
                <w:right w:val="none" w:sz="0" w:space="0" w:color="auto"/>
              </w:divBdr>
            </w:div>
          </w:divsChild>
        </w:div>
        <w:div w:id="449588252">
          <w:marLeft w:val="0"/>
          <w:marRight w:val="0"/>
          <w:marTop w:val="0"/>
          <w:marBottom w:val="15"/>
          <w:divBdr>
            <w:top w:val="single" w:sz="6" w:space="4" w:color="DBDBE4"/>
            <w:left w:val="single" w:sz="6" w:space="0" w:color="DBDBE4"/>
            <w:bottom w:val="single" w:sz="6" w:space="4" w:color="DBDBE4"/>
            <w:right w:val="single" w:sz="6" w:space="0" w:color="DBDBE4"/>
          </w:divBdr>
          <w:divsChild>
            <w:div w:id="1652100134">
              <w:marLeft w:val="0"/>
              <w:marRight w:val="0"/>
              <w:marTop w:val="0"/>
              <w:marBottom w:val="0"/>
              <w:divBdr>
                <w:top w:val="none" w:sz="0" w:space="0" w:color="auto"/>
                <w:left w:val="single" w:sz="6" w:space="11" w:color="DBDBE4"/>
                <w:bottom w:val="none" w:sz="0" w:space="0" w:color="auto"/>
                <w:right w:val="single" w:sz="6" w:space="11" w:color="DBDBE4"/>
              </w:divBdr>
            </w:div>
            <w:div w:id="498270866">
              <w:marLeft w:val="0"/>
              <w:marRight w:val="0"/>
              <w:marTop w:val="0"/>
              <w:marBottom w:val="0"/>
              <w:divBdr>
                <w:top w:val="none" w:sz="0" w:space="0" w:color="auto"/>
                <w:left w:val="none" w:sz="0" w:space="0" w:color="auto"/>
                <w:bottom w:val="none" w:sz="0" w:space="0" w:color="auto"/>
                <w:right w:val="none" w:sz="0" w:space="0" w:color="auto"/>
              </w:divBdr>
            </w:div>
          </w:divsChild>
        </w:div>
        <w:div w:id="1525557364">
          <w:marLeft w:val="0"/>
          <w:marRight w:val="0"/>
          <w:marTop w:val="0"/>
          <w:marBottom w:val="15"/>
          <w:divBdr>
            <w:top w:val="single" w:sz="6" w:space="4" w:color="DBDBE4"/>
            <w:left w:val="single" w:sz="6" w:space="0" w:color="DBDBE4"/>
            <w:bottom w:val="single" w:sz="6" w:space="4" w:color="DBDBE4"/>
            <w:right w:val="single" w:sz="6" w:space="0" w:color="DBDBE4"/>
          </w:divBdr>
          <w:divsChild>
            <w:div w:id="1266767671">
              <w:marLeft w:val="0"/>
              <w:marRight w:val="0"/>
              <w:marTop w:val="0"/>
              <w:marBottom w:val="0"/>
              <w:divBdr>
                <w:top w:val="none" w:sz="0" w:space="0" w:color="auto"/>
                <w:left w:val="single" w:sz="6" w:space="11" w:color="DBDBE4"/>
                <w:bottom w:val="none" w:sz="0" w:space="0" w:color="auto"/>
                <w:right w:val="single" w:sz="6" w:space="11" w:color="DBDBE4"/>
              </w:divBdr>
            </w:div>
            <w:div w:id="1749377620">
              <w:marLeft w:val="0"/>
              <w:marRight w:val="0"/>
              <w:marTop w:val="0"/>
              <w:marBottom w:val="0"/>
              <w:divBdr>
                <w:top w:val="none" w:sz="0" w:space="0" w:color="auto"/>
                <w:left w:val="none" w:sz="0" w:space="0" w:color="auto"/>
                <w:bottom w:val="none" w:sz="0" w:space="0" w:color="auto"/>
                <w:right w:val="none" w:sz="0" w:space="0" w:color="auto"/>
              </w:divBdr>
            </w:div>
          </w:divsChild>
        </w:div>
        <w:div w:id="1638492137">
          <w:marLeft w:val="0"/>
          <w:marRight w:val="0"/>
          <w:marTop w:val="0"/>
          <w:marBottom w:val="15"/>
          <w:divBdr>
            <w:top w:val="single" w:sz="6" w:space="4" w:color="DBDBE4"/>
            <w:left w:val="single" w:sz="6" w:space="0" w:color="DBDBE4"/>
            <w:bottom w:val="single" w:sz="6" w:space="4" w:color="DBDBE4"/>
            <w:right w:val="single" w:sz="6" w:space="0" w:color="DBDBE4"/>
          </w:divBdr>
          <w:divsChild>
            <w:div w:id="1878271962">
              <w:marLeft w:val="0"/>
              <w:marRight w:val="0"/>
              <w:marTop w:val="0"/>
              <w:marBottom w:val="0"/>
              <w:divBdr>
                <w:top w:val="none" w:sz="0" w:space="0" w:color="auto"/>
                <w:left w:val="single" w:sz="6" w:space="11" w:color="DBDBE4"/>
                <w:bottom w:val="none" w:sz="0" w:space="0" w:color="auto"/>
                <w:right w:val="single" w:sz="6" w:space="11" w:color="DBDBE4"/>
              </w:divBdr>
            </w:div>
            <w:div w:id="1978728487">
              <w:marLeft w:val="0"/>
              <w:marRight w:val="0"/>
              <w:marTop w:val="0"/>
              <w:marBottom w:val="0"/>
              <w:divBdr>
                <w:top w:val="none" w:sz="0" w:space="0" w:color="auto"/>
                <w:left w:val="none" w:sz="0" w:space="0" w:color="auto"/>
                <w:bottom w:val="none" w:sz="0" w:space="0" w:color="auto"/>
                <w:right w:val="none" w:sz="0" w:space="0" w:color="auto"/>
              </w:divBdr>
            </w:div>
          </w:divsChild>
        </w:div>
        <w:div w:id="1429886680">
          <w:marLeft w:val="0"/>
          <w:marRight w:val="0"/>
          <w:marTop w:val="0"/>
          <w:marBottom w:val="15"/>
          <w:divBdr>
            <w:top w:val="single" w:sz="6" w:space="4" w:color="DBDBE4"/>
            <w:left w:val="single" w:sz="6" w:space="0" w:color="DBDBE4"/>
            <w:bottom w:val="single" w:sz="6" w:space="4" w:color="DBDBE4"/>
            <w:right w:val="single" w:sz="6" w:space="0" w:color="DBDBE4"/>
          </w:divBdr>
          <w:divsChild>
            <w:div w:id="220335197">
              <w:marLeft w:val="0"/>
              <w:marRight w:val="0"/>
              <w:marTop w:val="0"/>
              <w:marBottom w:val="0"/>
              <w:divBdr>
                <w:top w:val="none" w:sz="0" w:space="0" w:color="auto"/>
                <w:left w:val="single" w:sz="6" w:space="11" w:color="DBDBE4"/>
                <w:bottom w:val="none" w:sz="0" w:space="0" w:color="auto"/>
                <w:right w:val="single" w:sz="6" w:space="11" w:color="DBDBE4"/>
              </w:divBdr>
            </w:div>
            <w:div w:id="1196963105">
              <w:marLeft w:val="0"/>
              <w:marRight w:val="0"/>
              <w:marTop w:val="0"/>
              <w:marBottom w:val="0"/>
              <w:divBdr>
                <w:top w:val="none" w:sz="0" w:space="0" w:color="auto"/>
                <w:left w:val="none" w:sz="0" w:space="0" w:color="auto"/>
                <w:bottom w:val="none" w:sz="0" w:space="0" w:color="auto"/>
                <w:right w:val="none" w:sz="0" w:space="0" w:color="auto"/>
              </w:divBdr>
            </w:div>
          </w:divsChild>
        </w:div>
        <w:div w:id="162941020">
          <w:marLeft w:val="0"/>
          <w:marRight w:val="0"/>
          <w:marTop w:val="0"/>
          <w:marBottom w:val="15"/>
          <w:divBdr>
            <w:top w:val="single" w:sz="6" w:space="4" w:color="DBDBE4"/>
            <w:left w:val="single" w:sz="6" w:space="0" w:color="DBDBE4"/>
            <w:bottom w:val="single" w:sz="6" w:space="4" w:color="DBDBE4"/>
            <w:right w:val="single" w:sz="6" w:space="0" w:color="DBDBE4"/>
          </w:divBdr>
          <w:divsChild>
            <w:div w:id="1352494011">
              <w:marLeft w:val="0"/>
              <w:marRight w:val="0"/>
              <w:marTop w:val="0"/>
              <w:marBottom w:val="0"/>
              <w:divBdr>
                <w:top w:val="none" w:sz="0" w:space="0" w:color="auto"/>
                <w:left w:val="single" w:sz="6" w:space="11" w:color="DBDBE4"/>
                <w:bottom w:val="none" w:sz="0" w:space="0" w:color="auto"/>
                <w:right w:val="single" w:sz="6" w:space="11" w:color="DBDBE4"/>
              </w:divBdr>
            </w:div>
            <w:div w:id="466556052">
              <w:marLeft w:val="0"/>
              <w:marRight w:val="0"/>
              <w:marTop w:val="0"/>
              <w:marBottom w:val="0"/>
              <w:divBdr>
                <w:top w:val="none" w:sz="0" w:space="0" w:color="auto"/>
                <w:left w:val="none" w:sz="0" w:space="0" w:color="auto"/>
                <w:bottom w:val="none" w:sz="0" w:space="0" w:color="auto"/>
                <w:right w:val="none" w:sz="0" w:space="0" w:color="auto"/>
              </w:divBdr>
            </w:div>
          </w:divsChild>
        </w:div>
        <w:div w:id="1952203160">
          <w:marLeft w:val="0"/>
          <w:marRight w:val="0"/>
          <w:marTop w:val="0"/>
          <w:marBottom w:val="15"/>
          <w:divBdr>
            <w:top w:val="single" w:sz="6" w:space="4" w:color="DBDBE4"/>
            <w:left w:val="single" w:sz="6" w:space="0" w:color="DBDBE4"/>
            <w:bottom w:val="single" w:sz="6" w:space="4" w:color="DBDBE4"/>
            <w:right w:val="single" w:sz="6" w:space="0" w:color="DBDBE4"/>
          </w:divBdr>
          <w:divsChild>
            <w:div w:id="2109496329">
              <w:marLeft w:val="0"/>
              <w:marRight w:val="0"/>
              <w:marTop w:val="0"/>
              <w:marBottom w:val="0"/>
              <w:divBdr>
                <w:top w:val="none" w:sz="0" w:space="0" w:color="auto"/>
                <w:left w:val="single" w:sz="6" w:space="11" w:color="DBDBE4"/>
                <w:bottom w:val="none" w:sz="0" w:space="0" w:color="auto"/>
                <w:right w:val="single" w:sz="6" w:space="11" w:color="DBDBE4"/>
              </w:divBdr>
            </w:div>
            <w:div w:id="1585456580">
              <w:marLeft w:val="0"/>
              <w:marRight w:val="0"/>
              <w:marTop w:val="0"/>
              <w:marBottom w:val="0"/>
              <w:divBdr>
                <w:top w:val="none" w:sz="0" w:space="0" w:color="auto"/>
                <w:left w:val="none" w:sz="0" w:space="0" w:color="auto"/>
                <w:bottom w:val="none" w:sz="0" w:space="0" w:color="auto"/>
                <w:right w:val="none" w:sz="0" w:space="0" w:color="auto"/>
              </w:divBdr>
            </w:div>
          </w:divsChild>
        </w:div>
        <w:div w:id="1204292539">
          <w:marLeft w:val="0"/>
          <w:marRight w:val="0"/>
          <w:marTop w:val="0"/>
          <w:marBottom w:val="15"/>
          <w:divBdr>
            <w:top w:val="single" w:sz="6" w:space="4" w:color="DBDBE4"/>
            <w:left w:val="single" w:sz="6" w:space="0" w:color="DBDBE4"/>
            <w:bottom w:val="single" w:sz="6" w:space="4" w:color="DBDBE4"/>
            <w:right w:val="single" w:sz="6" w:space="0" w:color="DBDBE4"/>
          </w:divBdr>
          <w:divsChild>
            <w:div w:id="147282037">
              <w:marLeft w:val="0"/>
              <w:marRight w:val="0"/>
              <w:marTop w:val="0"/>
              <w:marBottom w:val="0"/>
              <w:divBdr>
                <w:top w:val="none" w:sz="0" w:space="0" w:color="auto"/>
                <w:left w:val="single" w:sz="6" w:space="11" w:color="DBDBE4"/>
                <w:bottom w:val="none" w:sz="0" w:space="0" w:color="auto"/>
                <w:right w:val="single" w:sz="6" w:space="11" w:color="DBDBE4"/>
              </w:divBdr>
            </w:div>
            <w:div w:id="719789724">
              <w:marLeft w:val="0"/>
              <w:marRight w:val="0"/>
              <w:marTop w:val="0"/>
              <w:marBottom w:val="0"/>
              <w:divBdr>
                <w:top w:val="none" w:sz="0" w:space="0" w:color="auto"/>
                <w:left w:val="none" w:sz="0" w:space="0" w:color="auto"/>
                <w:bottom w:val="none" w:sz="0" w:space="0" w:color="auto"/>
                <w:right w:val="none" w:sz="0" w:space="0" w:color="auto"/>
              </w:divBdr>
            </w:div>
          </w:divsChild>
        </w:div>
        <w:div w:id="2004308080">
          <w:marLeft w:val="0"/>
          <w:marRight w:val="0"/>
          <w:marTop w:val="0"/>
          <w:marBottom w:val="15"/>
          <w:divBdr>
            <w:top w:val="single" w:sz="6" w:space="4" w:color="DBDBE4"/>
            <w:left w:val="single" w:sz="6" w:space="0" w:color="DBDBE4"/>
            <w:bottom w:val="single" w:sz="6" w:space="4" w:color="DBDBE4"/>
            <w:right w:val="single" w:sz="6" w:space="0" w:color="DBDBE4"/>
          </w:divBdr>
          <w:divsChild>
            <w:div w:id="164713729">
              <w:marLeft w:val="0"/>
              <w:marRight w:val="0"/>
              <w:marTop w:val="0"/>
              <w:marBottom w:val="0"/>
              <w:divBdr>
                <w:top w:val="none" w:sz="0" w:space="0" w:color="auto"/>
                <w:left w:val="single" w:sz="6" w:space="11" w:color="DBDBE4"/>
                <w:bottom w:val="none" w:sz="0" w:space="0" w:color="auto"/>
                <w:right w:val="single" w:sz="6" w:space="11" w:color="DBDBE4"/>
              </w:divBdr>
            </w:div>
            <w:div w:id="777066754">
              <w:marLeft w:val="0"/>
              <w:marRight w:val="0"/>
              <w:marTop w:val="0"/>
              <w:marBottom w:val="0"/>
              <w:divBdr>
                <w:top w:val="none" w:sz="0" w:space="0" w:color="auto"/>
                <w:left w:val="none" w:sz="0" w:space="0" w:color="auto"/>
                <w:bottom w:val="none" w:sz="0" w:space="0" w:color="auto"/>
                <w:right w:val="none" w:sz="0" w:space="0" w:color="auto"/>
              </w:divBdr>
            </w:div>
          </w:divsChild>
        </w:div>
        <w:div w:id="524178330">
          <w:marLeft w:val="0"/>
          <w:marRight w:val="0"/>
          <w:marTop w:val="0"/>
          <w:marBottom w:val="15"/>
          <w:divBdr>
            <w:top w:val="single" w:sz="6" w:space="4" w:color="DBDBE4"/>
            <w:left w:val="single" w:sz="6" w:space="0" w:color="DBDBE4"/>
            <w:bottom w:val="single" w:sz="6" w:space="4" w:color="DBDBE4"/>
            <w:right w:val="single" w:sz="6" w:space="0" w:color="DBDBE4"/>
          </w:divBdr>
          <w:divsChild>
            <w:div w:id="1970548193">
              <w:marLeft w:val="0"/>
              <w:marRight w:val="0"/>
              <w:marTop w:val="0"/>
              <w:marBottom w:val="0"/>
              <w:divBdr>
                <w:top w:val="none" w:sz="0" w:space="0" w:color="auto"/>
                <w:left w:val="single" w:sz="6" w:space="11" w:color="DBDBE4"/>
                <w:bottom w:val="none" w:sz="0" w:space="0" w:color="auto"/>
                <w:right w:val="single" w:sz="6" w:space="11" w:color="DBDBE4"/>
              </w:divBdr>
            </w:div>
            <w:div w:id="898982873">
              <w:marLeft w:val="0"/>
              <w:marRight w:val="0"/>
              <w:marTop w:val="0"/>
              <w:marBottom w:val="0"/>
              <w:divBdr>
                <w:top w:val="none" w:sz="0" w:space="0" w:color="auto"/>
                <w:left w:val="none" w:sz="0" w:space="0" w:color="auto"/>
                <w:bottom w:val="none" w:sz="0" w:space="0" w:color="auto"/>
                <w:right w:val="none" w:sz="0" w:space="0" w:color="auto"/>
              </w:divBdr>
            </w:div>
          </w:divsChild>
        </w:div>
        <w:div w:id="1376470230">
          <w:marLeft w:val="0"/>
          <w:marRight w:val="0"/>
          <w:marTop w:val="0"/>
          <w:marBottom w:val="15"/>
          <w:divBdr>
            <w:top w:val="single" w:sz="6" w:space="4" w:color="DBDBE4"/>
            <w:left w:val="single" w:sz="6" w:space="0" w:color="DBDBE4"/>
            <w:bottom w:val="single" w:sz="6" w:space="4" w:color="DBDBE4"/>
            <w:right w:val="single" w:sz="6" w:space="0" w:color="DBDBE4"/>
          </w:divBdr>
          <w:divsChild>
            <w:div w:id="1312103382">
              <w:marLeft w:val="0"/>
              <w:marRight w:val="0"/>
              <w:marTop w:val="0"/>
              <w:marBottom w:val="0"/>
              <w:divBdr>
                <w:top w:val="none" w:sz="0" w:space="0" w:color="auto"/>
                <w:left w:val="single" w:sz="6" w:space="11" w:color="DBDBE4"/>
                <w:bottom w:val="none" w:sz="0" w:space="0" w:color="auto"/>
                <w:right w:val="single" w:sz="6" w:space="11" w:color="DBDBE4"/>
              </w:divBdr>
            </w:div>
            <w:div w:id="31813572">
              <w:marLeft w:val="0"/>
              <w:marRight w:val="0"/>
              <w:marTop w:val="0"/>
              <w:marBottom w:val="0"/>
              <w:divBdr>
                <w:top w:val="none" w:sz="0" w:space="0" w:color="auto"/>
                <w:left w:val="none" w:sz="0" w:space="0" w:color="auto"/>
                <w:bottom w:val="none" w:sz="0" w:space="0" w:color="auto"/>
                <w:right w:val="none" w:sz="0" w:space="0" w:color="auto"/>
              </w:divBdr>
            </w:div>
          </w:divsChild>
        </w:div>
        <w:div w:id="1171022160">
          <w:marLeft w:val="0"/>
          <w:marRight w:val="0"/>
          <w:marTop w:val="0"/>
          <w:marBottom w:val="15"/>
          <w:divBdr>
            <w:top w:val="single" w:sz="6" w:space="4" w:color="DBDBE4"/>
            <w:left w:val="single" w:sz="6" w:space="0" w:color="DBDBE4"/>
            <w:bottom w:val="single" w:sz="6" w:space="4" w:color="DBDBE4"/>
            <w:right w:val="single" w:sz="6" w:space="0" w:color="DBDBE4"/>
          </w:divBdr>
          <w:divsChild>
            <w:div w:id="1644774722">
              <w:marLeft w:val="0"/>
              <w:marRight w:val="0"/>
              <w:marTop w:val="0"/>
              <w:marBottom w:val="0"/>
              <w:divBdr>
                <w:top w:val="none" w:sz="0" w:space="0" w:color="auto"/>
                <w:left w:val="single" w:sz="6" w:space="11" w:color="DBDBE4"/>
                <w:bottom w:val="none" w:sz="0" w:space="0" w:color="auto"/>
                <w:right w:val="single" w:sz="6" w:space="11" w:color="DBDBE4"/>
              </w:divBdr>
            </w:div>
            <w:div w:id="365182962">
              <w:marLeft w:val="0"/>
              <w:marRight w:val="0"/>
              <w:marTop w:val="0"/>
              <w:marBottom w:val="0"/>
              <w:divBdr>
                <w:top w:val="none" w:sz="0" w:space="0" w:color="auto"/>
                <w:left w:val="none" w:sz="0" w:space="0" w:color="auto"/>
                <w:bottom w:val="none" w:sz="0" w:space="0" w:color="auto"/>
                <w:right w:val="none" w:sz="0" w:space="0" w:color="auto"/>
              </w:divBdr>
            </w:div>
          </w:divsChild>
        </w:div>
        <w:div w:id="1650014294">
          <w:marLeft w:val="0"/>
          <w:marRight w:val="0"/>
          <w:marTop w:val="0"/>
          <w:marBottom w:val="15"/>
          <w:divBdr>
            <w:top w:val="single" w:sz="6" w:space="4" w:color="DBDBE4"/>
            <w:left w:val="single" w:sz="6" w:space="0" w:color="DBDBE4"/>
            <w:bottom w:val="single" w:sz="6" w:space="4" w:color="DBDBE4"/>
            <w:right w:val="single" w:sz="6" w:space="0" w:color="DBDBE4"/>
          </w:divBdr>
          <w:divsChild>
            <w:div w:id="1559784381">
              <w:marLeft w:val="0"/>
              <w:marRight w:val="0"/>
              <w:marTop w:val="0"/>
              <w:marBottom w:val="0"/>
              <w:divBdr>
                <w:top w:val="none" w:sz="0" w:space="0" w:color="auto"/>
                <w:left w:val="single" w:sz="6" w:space="11" w:color="DBDBE4"/>
                <w:bottom w:val="none" w:sz="0" w:space="0" w:color="auto"/>
                <w:right w:val="single" w:sz="6" w:space="11" w:color="DBDBE4"/>
              </w:divBdr>
            </w:div>
            <w:div w:id="1367482059">
              <w:marLeft w:val="0"/>
              <w:marRight w:val="0"/>
              <w:marTop w:val="0"/>
              <w:marBottom w:val="0"/>
              <w:divBdr>
                <w:top w:val="none" w:sz="0" w:space="0" w:color="auto"/>
                <w:left w:val="none" w:sz="0" w:space="0" w:color="auto"/>
                <w:bottom w:val="none" w:sz="0" w:space="0" w:color="auto"/>
                <w:right w:val="none" w:sz="0" w:space="0" w:color="auto"/>
              </w:divBdr>
            </w:div>
          </w:divsChild>
        </w:div>
        <w:div w:id="1862165364">
          <w:marLeft w:val="0"/>
          <w:marRight w:val="0"/>
          <w:marTop w:val="0"/>
          <w:marBottom w:val="15"/>
          <w:divBdr>
            <w:top w:val="single" w:sz="6" w:space="4" w:color="DBDBE4"/>
            <w:left w:val="single" w:sz="6" w:space="0" w:color="DBDBE4"/>
            <w:bottom w:val="single" w:sz="6" w:space="4" w:color="DBDBE4"/>
            <w:right w:val="single" w:sz="6" w:space="0" w:color="DBDBE4"/>
          </w:divBdr>
          <w:divsChild>
            <w:div w:id="1610429680">
              <w:marLeft w:val="0"/>
              <w:marRight w:val="0"/>
              <w:marTop w:val="0"/>
              <w:marBottom w:val="0"/>
              <w:divBdr>
                <w:top w:val="none" w:sz="0" w:space="0" w:color="auto"/>
                <w:left w:val="single" w:sz="6" w:space="11" w:color="DBDBE4"/>
                <w:bottom w:val="none" w:sz="0" w:space="0" w:color="auto"/>
                <w:right w:val="single" w:sz="6" w:space="11" w:color="DBDBE4"/>
              </w:divBdr>
            </w:div>
            <w:div w:id="2011912024">
              <w:marLeft w:val="0"/>
              <w:marRight w:val="0"/>
              <w:marTop w:val="0"/>
              <w:marBottom w:val="0"/>
              <w:divBdr>
                <w:top w:val="none" w:sz="0" w:space="0" w:color="auto"/>
                <w:left w:val="none" w:sz="0" w:space="0" w:color="auto"/>
                <w:bottom w:val="none" w:sz="0" w:space="0" w:color="auto"/>
                <w:right w:val="none" w:sz="0" w:space="0" w:color="auto"/>
              </w:divBdr>
            </w:div>
          </w:divsChild>
        </w:div>
        <w:div w:id="449084191">
          <w:marLeft w:val="0"/>
          <w:marRight w:val="0"/>
          <w:marTop w:val="0"/>
          <w:marBottom w:val="15"/>
          <w:divBdr>
            <w:top w:val="single" w:sz="6" w:space="4" w:color="DBDBE4"/>
            <w:left w:val="single" w:sz="6" w:space="0" w:color="DBDBE4"/>
            <w:bottom w:val="single" w:sz="6" w:space="4" w:color="DBDBE4"/>
            <w:right w:val="single" w:sz="6" w:space="0" w:color="DBDBE4"/>
          </w:divBdr>
          <w:divsChild>
            <w:div w:id="301540094">
              <w:marLeft w:val="0"/>
              <w:marRight w:val="0"/>
              <w:marTop w:val="0"/>
              <w:marBottom w:val="0"/>
              <w:divBdr>
                <w:top w:val="none" w:sz="0" w:space="0" w:color="auto"/>
                <w:left w:val="single" w:sz="6" w:space="11" w:color="DBDBE4"/>
                <w:bottom w:val="none" w:sz="0" w:space="0" w:color="auto"/>
                <w:right w:val="single" w:sz="6" w:space="11" w:color="DBDBE4"/>
              </w:divBdr>
            </w:div>
            <w:div w:id="2013338917">
              <w:marLeft w:val="0"/>
              <w:marRight w:val="0"/>
              <w:marTop w:val="0"/>
              <w:marBottom w:val="0"/>
              <w:divBdr>
                <w:top w:val="none" w:sz="0" w:space="0" w:color="auto"/>
                <w:left w:val="none" w:sz="0" w:space="0" w:color="auto"/>
                <w:bottom w:val="none" w:sz="0" w:space="0" w:color="auto"/>
                <w:right w:val="none" w:sz="0" w:space="0" w:color="auto"/>
              </w:divBdr>
            </w:div>
          </w:divsChild>
        </w:div>
        <w:div w:id="769549352">
          <w:marLeft w:val="0"/>
          <w:marRight w:val="0"/>
          <w:marTop w:val="0"/>
          <w:marBottom w:val="15"/>
          <w:divBdr>
            <w:top w:val="single" w:sz="6" w:space="4" w:color="DBDBE4"/>
            <w:left w:val="single" w:sz="6" w:space="0" w:color="DBDBE4"/>
            <w:bottom w:val="single" w:sz="6" w:space="4" w:color="DBDBE4"/>
            <w:right w:val="single" w:sz="6" w:space="0" w:color="DBDBE4"/>
          </w:divBdr>
          <w:divsChild>
            <w:div w:id="1915814417">
              <w:marLeft w:val="0"/>
              <w:marRight w:val="0"/>
              <w:marTop w:val="0"/>
              <w:marBottom w:val="0"/>
              <w:divBdr>
                <w:top w:val="none" w:sz="0" w:space="0" w:color="auto"/>
                <w:left w:val="single" w:sz="6" w:space="11" w:color="DBDBE4"/>
                <w:bottom w:val="none" w:sz="0" w:space="0" w:color="auto"/>
                <w:right w:val="single" w:sz="6" w:space="11" w:color="DBDBE4"/>
              </w:divBdr>
            </w:div>
            <w:div w:id="1393232961">
              <w:marLeft w:val="0"/>
              <w:marRight w:val="0"/>
              <w:marTop w:val="0"/>
              <w:marBottom w:val="0"/>
              <w:divBdr>
                <w:top w:val="none" w:sz="0" w:space="0" w:color="auto"/>
                <w:left w:val="none" w:sz="0" w:space="0" w:color="auto"/>
                <w:bottom w:val="none" w:sz="0" w:space="0" w:color="auto"/>
                <w:right w:val="none" w:sz="0" w:space="0" w:color="auto"/>
              </w:divBdr>
            </w:div>
          </w:divsChild>
        </w:div>
        <w:div w:id="1302079515">
          <w:marLeft w:val="0"/>
          <w:marRight w:val="0"/>
          <w:marTop w:val="0"/>
          <w:marBottom w:val="15"/>
          <w:divBdr>
            <w:top w:val="single" w:sz="6" w:space="4" w:color="DBDBE4"/>
            <w:left w:val="single" w:sz="6" w:space="0" w:color="DBDBE4"/>
            <w:bottom w:val="single" w:sz="6" w:space="4" w:color="DBDBE4"/>
            <w:right w:val="single" w:sz="6" w:space="0" w:color="DBDBE4"/>
          </w:divBdr>
          <w:divsChild>
            <w:div w:id="1847819134">
              <w:marLeft w:val="0"/>
              <w:marRight w:val="0"/>
              <w:marTop w:val="0"/>
              <w:marBottom w:val="0"/>
              <w:divBdr>
                <w:top w:val="none" w:sz="0" w:space="0" w:color="auto"/>
                <w:left w:val="single" w:sz="6" w:space="11" w:color="DBDBE4"/>
                <w:bottom w:val="none" w:sz="0" w:space="0" w:color="auto"/>
                <w:right w:val="single" w:sz="6" w:space="11" w:color="DBDBE4"/>
              </w:divBdr>
            </w:div>
            <w:div w:id="1011417353">
              <w:marLeft w:val="0"/>
              <w:marRight w:val="0"/>
              <w:marTop w:val="0"/>
              <w:marBottom w:val="0"/>
              <w:divBdr>
                <w:top w:val="none" w:sz="0" w:space="0" w:color="auto"/>
                <w:left w:val="none" w:sz="0" w:space="0" w:color="auto"/>
                <w:bottom w:val="none" w:sz="0" w:space="0" w:color="auto"/>
                <w:right w:val="none" w:sz="0" w:space="0" w:color="auto"/>
              </w:divBdr>
            </w:div>
          </w:divsChild>
        </w:div>
        <w:div w:id="491410878">
          <w:marLeft w:val="0"/>
          <w:marRight w:val="0"/>
          <w:marTop w:val="0"/>
          <w:marBottom w:val="15"/>
          <w:divBdr>
            <w:top w:val="single" w:sz="6" w:space="4" w:color="DBDBE4"/>
            <w:left w:val="single" w:sz="6" w:space="0" w:color="DBDBE4"/>
            <w:bottom w:val="single" w:sz="6" w:space="4" w:color="DBDBE4"/>
            <w:right w:val="single" w:sz="6" w:space="0" w:color="DBDBE4"/>
          </w:divBdr>
          <w:divsChild>
            <w:div w:id="542711191">
              <w:marLeft w:val="0"/>
              <w:marRight w:val="0"/>
              <w:marTop w:val="0"/>
              <w:marBottom w:val="0"/>
              <w:divBdr>
                <w:top w:val="none" w:sz="0" w:space="0" w:color="auto"/>
                <w:left w:val="single" w:sz="6" w:space="11" w:color="DBDBE4"/>
                <w:bottom w:val="none" w:sz="0" w:space="0" w:color="auto"/>
                <w:right w:val="single" w:sz="6" w:space="11" w:color="DBDBE4"/>
              </w:divBdr>
            </w:div>
            <w:div w:id="761070329">
              <w:marLeft w:val="0"/>
              <w:marRight w:val="0"/>
              <w:marTop w:val="0"/>
              <w:marBottom w:val="0"/>
              <w:divBdr>
                <w:top w:val="none" w:sz="0" w:space="0" w:color="auto"/>
                <w:left w:val="none" w:sz="0" w:space="0" w:color="auto"/>
                <w:bottom w:val="none" w:sz="0" w:space="0" w:color="auto"/>
                <w:right w:val="none" w:sz="0" w:space="0" w:color="auto"/>
              </w:divBdr>
            </w:div>
          </w:divsChild>
        </w:div>
        <w:div w:id="1915120117">
          <w:marLeft w:val="0"/>
          <w:marRight w:val="0"/>
          <w:marTop w:val="0"/>
          <w:marBottom w:val="15"/>
          <w:divBdr>
            <w:top w:val="single" w:sz="6" w:space="4" w:color="DBDBE4"/>
            <w:left w:val="single" w:sz="6" w:space="0" w:color="DBDBE4"/>
            <w:bottom w:val="single" w:sz="6" w:space="4" w:color="DBDBE4"/>
            <w:right w:val="single" w:sz="6" w:space="0" w:color="DBDBE4"/>
          </w:divBdr>
          <w:divsChild>
            <w:div w:id="235553253">
              <w:marLeft w:val="0"/>
              <w:marRight w:val="0"/>
              <w:marTop w:val="0"/>
              <w:marBottom w:val="0"/>
              <w:divBdr>
                <w:top w:val="none" w:sz="0" w:space="0" w:color="auto"/>
                <w:left w:val="single" w:sz="6" w:space="11" w:color="DBDBE4"/>
                <w:bottom w:val="none" w:sz="0" w:space="0" w:color="auto"/>
                <w:right w:val="single" w:sz="6" w:space="11" w:color="DBDBE4"/>
              </w:divBdr>
            </w:div>
            <w:div w:id="237061595">
              <w:marLeft w:val="0"/>
              <w:marRight w:val="0"/>
              <w:marTop w:val="0"/>
              <w:marBottom w:val="0"/>
              <w:divBdr>
                <w:top w:val="none" w:sz="0" w:space="0" w:color="auto"/>
                <w:left w:val="none" w:sz="0" w:space="0" w:color="auto"/>
                <w:bottom w:val="none" w:sz="0" w:space="0" w:color="auto"/>
                <w:right w:val="none" w:sz="0" w:space="0" w:color="auto"/>
              </w:divBdr>
            </w:div>
          </w:divsChild>
        </w:div>
        <w:div w:id="385496565">
          <w:marLeft w:val="0"/>
          <w:marRight w:val="0"/>
          <w:marTop w:val="0"/>
          <w:marBottom w:val="15"/>
          <w:divBdr>
            <w:top w:val="single" w:sz="6" w:space="4" w:color="DBDBE4"/>
            <w:left w:val="single" w:sz="6" w:space="0" w:color="DBDBE4"/>
            <w:bottom w:val="single" w:sz="6" w:space="4" w:color="DBDBE4"/>
            <w:right w:val="single" w:sz="6" w:space="0" w:color="DBDBE4"/>
          </w:divBdr>
          <w:divsChild>
            <w:div w:id="2003124414">
              <w:marLeft w:val="0"/>
              <w:marRight w:val="0"/>
              <w:marTop w:val="0"/>
              <w:marBottom w:val="0"/>
              <w:divBdr>
                <w:top w:val="none" w:sz="0" w:space="0" w:color="auto"/>
                <w:left w:val="single" w:sz="6" w:space="11" w:color="DBDBE4"/>
                <w:bottom w:val="none" w:sz="0" w:space="0" w:color="auto"/>
                <w:right w:val="single" w:sz="6" w:space="11" w:color="DBDBE4"/>
              </w:divBdr>
            </w:div>
            <w:div w:id="1707752796">
              <w:marLeft w:val="0"/>
              <w:marRight w:val="0"/>
              <w:marTop w:val="0"/>
              <w:marBottom w:val="0"/>
              <w:divBdr>
                <w:top w:val="none" w:sz="0" w:space="0" w:color="auto"/>
                <w:left w:val="none" w:sz="0" w:space="0" w:color="auto"/>
                <w:bottom w:val="none" w:sz="0" w:space="0" w:color="auto"/>
                <w:right w:val="none" w:sz="0" w:space="0" w:color="auto"/>
              </w:divBdr>
            </w:div>
          </w:divsChild>
        </w:div>
        <w:div w:id="2053799623">
          <w:marLeft w:val="0"/>
          <w:marRight w:val="0"/>
          <w:marTop w:val="0"/>
          <w:marBottom w:val="15"/>
          <w:divBdr>
            <w:top w:val="single" w:sz="6" w:space="4" w:color="DBDBE4"/>
            <w:left w:val="single" w:sz="6" w:space="0" w:color="DBDBE4"/>
            <w:bottom w:val="single" w:sz="6" w:space="4" w:color="DBDBE4"/>
            <w:right w:val="single" w:sz="6" w:space="0" w:color="DBDBE4"/>
          </w:divBdr>
          <w:divsChild>
            <w:div w:id="514466201">
              <w:marLeft w:val="0"/>
              <w:marRight w:val="0"/>
              <w:marTop w:val="0"/>
              <w:marBottom w:val="0"/>
              <w:divBdr>
                <w:top w:val="none" w:sz="0" w:space="0" w:color="auto"/>
                <w:left w:val="single" w:sz="6" w:space="11" w:color="DBDBE4"/>
                <w:bottom w:val="none" w:sz="0" w:space="0" w:color="auto"/>
                <w:right w:val="single" w:sz="6" w:space="11" w:color="DBDBE4"/>
              </w:divBdr>
            </w:div>
            <w:div w:id="2055108923">
              <w:marLeft w:val="0"/>
              <w:marRight w:val="0"/>
              <w:marTop w:val="0"/>
              <w:marBottom w:val="0"/>
              <w:divBdr>
                <w:top w:val="none" w:sz="0" w:space="0" w:color="auto"/>
                <w:left w:val="none" w:sz="0" w:space="0" w:color="auto"/>
                <w:bottom w:val="none" w:sz="0" w:space="0" w:color="auto"/>
                <w:right w:val="none" w:sz="0" w:space="0" w:color="auto"/>
              </w:divBdr>
            </w:div>
          </w:divsChild>
        </w:div>
        <w:div w:id="571085600">
          <w:marLeft w:val="0"/>
          <w:marRight w:val="0"/>
          <w:marTop w:val="0"/>
          <w:marBottom w:val="15"/>
          <w:divBdr>
            <w:top w:val="single" w:sz="6" w:space="4" w:color="DBDBE4"/>
            <w:left w:val="single" w:sz="6" w:space="0" w:color="DBDBE4"/>
            <w:bottom w:val="single" w:sz="6" w:space="4" w:color="DBDBE4"/>
            <w:right w:val="single" w:sz="6" w:space="0" w:color="DBDBE4"/>
          </w:divBdr>
          <w:divsChild>
            <w:div w:id="1064372580">
              <w:marLeft w:val="0"/>
              <w:marRight w:val="0"/>
              <w:marTop w:val="0"/>
              <w:marBottom w:val="0"/>
              <w:divBdr>
                <w:top w:val="none" w:sz="0" w:space="0" w:color="auto"/>
                <w:left w:val="single" w:sz="6" w:space="11" w:color="DBDBE4"/>
                <w:bottom w:val="none" w:sz="0" w:space="0" w:color="auto"/>
                <w:right w:val="single" w:sz="6" w:space="11" w:color="DBDBE4"/>
              </w:divBdr>
            </w:div>
            <w:div w:id="1506632902">
              <w:marLeft w:val="0"/>
              <w:marRight w:val="0"/>
              <w:marTop w:val="0"/>
              <w:marBottom w:val="0"/>
              <w:divBdr>
                <w:top w:val="none" w:sz="0" w:space="0" w:color="auto"/>
                <w:left w:val="none" w:sz="0" w:space="0" w:color="auto"/>
                <w:bottom w:val="none" w:sz="0" w:space="0" w:color="auto"/>
                <w:right w:val="none" w:sz="0" w:space="0" w:color="auto"/>
              </w:divBdr>
            </w:div>
          </w:divsChild>
        </w:div>
        <w:div w:id="364986493">
          <w:marLeft w:val="0"/>
          <w:marRight w:val="0"/>
          <w:marTop w:val="0"/>
          <w:marBottom w:val="15"/>
          <w:divBdr>
            <w:top w:val="single" w:sz="6" w:space="4" w:color="DBDBE4"/>
            <w:left w:val="single" w:sz="6" w:space="0" w:color="DBDBE4"/>
            <w:bottom w:val="single" w:sz="6" w:space="4" w:color="DBDBE4"/>
            <w:right w:val="single" w:sz="6" w:space="0" w:color="DBDBE4"/>
          </w:divBdr>
          <w:divsChild>
            <w:div w:id="817116111">
              <w:marLeft w:val="0"/>
              <w:marRight w:val="0"/>
              <w:marTop w:val="0"/>
              <w:marBottom w:val="0"/>
              <w:divBdr>
                <w:top w:val="none" w:sz="0" w:space="0" w:color="auto"/>
                <w:left w:val="single" w:sz="6" w:space="11" w:color="DBDBE4"/>
                <w:bottom w:val="none" w:sz="0" w:space="0" w:color="auto"/>
                <w:right w:val="single" w:sz="6" w:space="11" w:color="DBDBE4"/>
              </w:divBdr>
            </w:div>
            <w:div w:id="538854425">
              <w:marLeft w:val="0"/>
              <w:marRight w:val="0"/>
              <w:marTop w:val="0"/>
              <w:marBottom w:val="0"/>
              <w:divBdr>
                <w:top w:val="none" w:sz="0" w:space="0" w:color="auto"/>
                <w:left w:val="none" w:sz="0" w:space="0" w:color="auto"/>
                <w:bottom w:val="none" w:sz="0" w:space="0" w:color="auto"/>
                <w:right w:val="none" w:sz="0" w:space="0" w:color="auto"/>
              </w:divBdr>
            </w:div>
          </w:divsChild>
        </w:div>
        <w:div w:id="297343509">
          <w:marLeft w:val="0"/>
          <w:marRight w:val="0"/>
          <w:marTop w:val="0"/>
          <w:marBottom w:val="15"/>
          <w:divBdr>
            <w:top w:val="single" w:sz="6" w:space="4" w:color="DBDBE4"/>
            <w:left w:val="single" w:sz="6" w:space="0" w:color="DBDBE4"/>
            <w:bottom w:val="single" w:sz="6" w:space="4" w:color="DBDBE4"/>
            <w:right w:val="single" w:sz="6" w:space="0" w:color="DBDBE4"/>
          </w:divBdr>
          <w:divsChild>
            <w:div w:id="522670344">
              <w:marLeft w:val="0"/>
              <w:marRight w:val="0"/>
              <w:marTop w:val="0"/>
              <w:marBottom w:val="0"/>
              <w:divBdr>
                <w:top w:val="none" w:sz="0" w:space="0" w:color="auto"/>
                <w:left w:val="single" w:sz="6" w:space="11" w:color="DBDBE4"/>
                <w:bottom w:val="none" w:sz="0" w:space="0" w:color="auto"/>
                <w:right w:val="single" w:sz="6" w:space="11" w:color="DBDBE4"/>
              </w:divBdr>
            </w:div>
            <w:div w:id="951782258">
              <w:marLeft w:val="0"/>
              <w:marRight w:val="0"/>
              <w:marTop w:val="0"/>
              <w:marBottom w:val="0"/>
              <w:divBdr>
                <w:top w:val="none" w:sz="0" w:space="0" w:color="auto"/>
                <w:left w:val="none" w:sz="0" w:space="0" w:color="auto"/>
                <w:bottom w:val="none" w:sz="0" w:space="0" w:color="auto"/>
                <w:right w:val="none" w:sz="0" w:space="0" w:color="auto"/>
              </w:divBdr>
            </w:div>
          </w:divsChild>
        </w:div>
        <w:div w:id="705524221">
          <w:marLeft w:val="0"/>
          <w:marRight w:val="0"/>
          <w:marTop w:val="0"/>
          <w:marBottom w:val="15"/>
          <w:divBdr>
            <w:top w:val="single" w:sz="6" w:space="4" w:color="DBDBE4"/>
            <w:left w:val="single" w:sz="6" w:space="0" w:color="DBDBE4"/>
            <w:bottom w:val="single" w:sz="6" w:space="4" w:color="DBDBE4"/>
            <w:right w:val="single" w:sz="6" w:space="0" w:color="DBDBE4"/>
          </w:divBdr>
          <w:divsChild>
            <w:div w:id="592401178">
              <w:marLeft w:val="0"/>
              <w:marRight w:val="0"/>
              <w:marTop w:val="0"/>
              <w:marBottom w:val="0"/>
              <w:divBdr>
                <w:top w:val="none" w:sz="0" w:space="0" w:color="auto"/>
                <w:left w:val="single" w:sz="6" w:space="11" w:color="DBDBE4"/>
                <w:bottom w:val="none" w:sz="0" w:space="0" w:color="auto"/>
                <w:right w:val="single" w:sz="6" w:space="11" w:color="DBDBE4"/>
              </w:divBdr>
            </w:div>
            <w:div w:id="1064177386">
              <w:marLeft w:val="0"/>
              <w:marRight w:val="0"/>
              <w:marTop w:val="0"/>
              <w:marBottom w:val="0"/>
              <w:divBdr>
                <w:top w:val="none" w:sz="0" w:space="0" w:color="auto"/>
                <w:left w:val="none" w:sz="0" w:space="0" w:color="auto"/>
                <w:bottom w:val="none" w:sz="0" w:space="0" w:color="auto"/>
                <w:right w:val="none" w:sz="0" w:space="0" w:color="auto"/>
              </w:divBdr>
            </w:div>
          </w:divsChild>
        </w:div>
        <w:div w:id="602960070">
          <w:marLeft w:val="0"/>
          <w:marRight w:val="0"/>
          <w:marTop w:val="0"/>
          <w:marBottom w:val="15"/>
          <w:divBdr>
            <w:top w:val="single" w:sz="6" w:space="4" w:color="DBDBE4"/>
            <w:left w:val="single" w:sz="6" w:space="0" w:color="DBDBE4"/>
            <w:bottom w:val="single" w:sz="6" w:space="4" w:color="DBDBE4"/>
            <w:right w:val="single" w:sz="6" w:space="0" w:color="DBDBE4"/>
          </w:divBdr>
          <w:divsChild>
            <w:div w:id="729696939">
              <w:marLeft w:val="0"/>
              <w:marRight w:val="0"/>
              <w:marTop w:val="0"/>
              <w:marBottom w:val="0"/>
              <w:divBdr>
                <w:top w:val="none" w:sz="0" w:space="0" w:color="auto"/>
                <w:left w:val="single" w:sz="6" w:space="11" w:color="DBDBE4"/>
                <w:bottom w:val="none" w:sz="0" w:space="0" w:color="auto"/>
                <w:right w:val="single" w:sz="6" w:space="11" w:color="DBDBE4"/>
              </w:divBdr>
            </w:div>
            <w:div w:id="344595252">
              <w:marLeft w:val="0"/>
              <w:marRight w:val="0"/>
              <w:marTop w:val="0"/>
              <w:marBottom w:val="0"/>
              <w:divBdr>
                <w:top w:val="none" w:sz="0" w:space="0" w:color="auto"/>
                <w:left w:val="none" w:sz="0" w:space="0" w:color="auto"/>
                <w:bottom w:val="none" w:sz="0" w:space="0" w:color="auto"/>
                <w:right w:val="none" w:sz="0" w:space="0" w:color="auto"/>
              </w:divBdr>
            </w:div>
          </w:divsChild>
        </w:div>
        <w:div w:id="1104571921">
          <w:marLeft w:val="0"/>
          <w:marRight w:val="0"/>
          <w:marTop w:val="0"/>
          <w:marBottom w:val="15"/>
          <w:divBdr>
            <w:top w:val="single" w:sz="6" w:space="4" w:color="DBDBE4"/>
            <w:left w:val="single" w:sz="6" w:space="0" w:color="DBDBE4"/>
            <w:bottom w:val="single" w:sz="6" w:space="4" w:color="DBDBE4"/>
            <w:right w:val="single" w:sz="6" w:space="0" w:color="DBDBE4"/>
          </w:divBdr>
          <w:divsChild>
            <w:div w:id="1974679265">
              <w:marLeft w:val="0"/>
              <w:marRight w:val="0"/>
              <w:marTop w:val="0"/>
              <w:marBottom w:val="0"/>
              <w:divBdr>
                <w:top w:val="none" w:sz="0" w:space="0" w:color="auto"/>
                <w:left w:val="single" w:sz="6" w:space="11" w:color="DBDBE4"/>
                <w:bottom w:val="none" w:sz="0" w:space="0" w:color="auto"/>
                <w:right w:val="single" w:sz="6" w:space="11" w:color="DBDBE4"/>
              </w:divBdr>
            </w:div>
            <w:div w:id="1978799150">
              <w:marLeft w:val="0"/>
              <w:marRight w:val="0"/>
              <w:marTop w:val="0"/>
              <w:marBottom w:val="0"/>
              <w:divBdr>
                <w:top w:val="none" w:sz="0" w:space="0" w:color="auto"/>
                <w:left w:val="none" w:sz="0" w:space="0" w:color="auto"/>
                <w:bottom w:val="none" w:sz="0" w:space="0" w:color="auto"/>
                <w:right w:val="none" w:sz="0" w:space="0" w:color="auto"/>
              </w:divBdr>
            </w:div>
          </w:divsChild>
        </w:div>
        <w:div w:id="248463743">
          <w:marLeft w:val="0"/>
          <w:marRight w:val="0"/>
          <w:marTop w:val="0"/>
          <w:marBottom w:val="15"/>
          <w:divBdr>
            <w:top w:val="single" w:sz="6" w:space="4" w:color="DBDBE4"/>
            <w:left w:val="single" w:sz="6" w:space="0" w:color="DBDBE4"/>
            <w:bottom w:val="single" w:sz="6" w:space="4" w:color="DBDBE4"/>
            <w:right w:val="single" w:sz="6" w:space="0" w:color="DBDBE4"/>
          </w:divBdr>
          <w:divsChild>
            <w:div w:id="745566572">
              <w:marLeft w:val="0"/>
              <w:marRight w:val="0"/>
              <w:marTop w:val="0"/>
              <w:marBottom w:val="0"/>
              <w:divBdr>
                <w:top w:val="none" w:sz="0" w:space="0" w:color="auto"/>
                <w:left w:val="single" w:sz="6" w:space="11" w:color="DBDBE4"/>
                <w:bottom w:val="none" w:sz="0" w:space="0" w:color="auto"/>
                <w:right w:val="single" w:sz="6" w:space="11" w:color="DBDBE4"/>
              </w:divBdr>
            </w:div>
            <w:div w:id="1491284672">
              <w:marLeft w:val="0"/>
              <w:marRight w:val="0"/>
              <w:marTop w:val="0"/>
              <w:marBottom w:val="0"/>
              <w:divBdr>
                <w:top w:val="none" w:sz="0" w:space="0" w:color="auto"/>
                <w:left w:val="none" w:sz="0" w:space="0" w:color="auto"/>
                <w:bottom w:val="none" w:sz="0" w:space="0" w:color="auto"/>
                <w:right w:val="none" w:sz="0" w:space="0" w:color="auto"/>
              </w:divBdr>
            </w:div>
          </w:divsChild>
        </w:div>
        <w:div w:id="385111505">
          <w:marLeft w:val="0"/>
          <w:marRight w:val="0"/>
          <w:marTop w:val="0"/>
          <w:marBottom w:val="15"/>
          <w:divBdr>
            <w:top w:val="single" w:sz="6" w:space="4" w:color="DBDBE4"/>
            <w:left w:val="single" w:sz="6" w:space="0" w:color="DBDBE4"/>
            <w:bottom w:val="single" w:sz="6" w:space="4" w:color="DBDBE4"/>
            <w:right w:val="single" w:sz="6" w:space="0" w:color="DBDBE4"/>
          </w:divBdr>
          <w:divsChild>
            <w:div w:id="1308973840">
              <w:marLeft w:val="0"/>
              <w:marRight w:val="0"/>
              <w:marTop w:val="0"/>
              <w:marBottom w:val="0"/>
              <w:divBdr>
                <w:top w:val="none" w:sz="0" w:space="0" w:color="auto"/>
                <w:left w:val="single" w:sz="6" w:space="11" w:color="DBDBE4"/>
                <w:bottom w:val="none" w:sz="0" w:space="0" w:color="auto"/>
                <w:right w:val="single" w:sz="6" w:space="11" w:color="DBDBE4"/>
              </w:divBdr>
            </w:div>
            <w:div w:id="163207678">
              <w:marLeft w:val="0"/>
              <w:marRight w:val="0"/>
              <w:marTop w:val="0"/>
              <w:marBottom w:val="0"/>
              <w:divBdr>
                <w:top w:val="none" w:sz="0" w:space="0" w:color="auto"/>
                <w:left w:val="none" w:sz="0" w:space="0" w:color="auto"/>
                <w:bottom w:val="none" w:sz="0" w:space="0" w:color="auto"/>
                <w:right w:val="none" w:sz="0" w:space="0" w:color="auto"/>
              </w:divBdr>
            </w:div>
          </w:divsChild>
        </w:div>
        <w:div w:id="1796943948">
          <w:marLeft w:val="0"/>
          <w:marRight w:val="0"/>
          <w:marTop w:val="0"/>
          <w:marBottom w:val="15"/>
          <w:divBdr>
            <w:top w:val="single" w:sz="6" w:space="4" w:color="DBDBE4"/>
            <w:left w:val="single" w:sz="6" w:space="0" w:color="DBDBE4"/>
            <w:bottom w:val="single" w:sz="6" w:space="4" w:color="DBDBE4"/>
            <w:right w:val="single" w:sz="6" w:space="0" w:color="DBDBE4"/>
          </w:divBdr>
          <w:divsChild>
            <w:div w:id="1508859122">
              <w:marLeft w:val="0"/>
              <w:marRight w:val="0"/>
              <w:marTop w:val="0"/>
              <w:marBottom w:val="0"/>
              <w:divBdr>
                <w:top w:val="none" w:sz="0" w:space="0" w:color="auto"/>
                <w:left w:val="single" w:sz="6" w:space="11" w:color="DBDBE4"/>
                <w:bottom w:val="none" w:sz="0" w:space="0" w:color="auto"/>
                <w:right w:val="single" w:sz="6" w:space="11" w:color="DBDBE4"/>
              </w:divBdr>
            </w:div>
            <w:div w:id="1388458354">
              <w:marLeft w:val="0"/>
              <w:marRight w:val="0"/>
              <w:marTop w:val="0"/>
              <w:marBottom w:val="0"/>
              <w:divBdr>
                <w:top w:val="none" w:sz="0" w:space="0" w:color="auto"/>
                <w:left w:val="none" w:sz="0" w:space="0" w:color="auto"/>
                <w:bottom w:val="none" w:sz="0" w:space="0" w:color="auto"/>
                <w:right w:val="none" w:sz="0" w:space="0" w:color="auto"/>
              </w:divBdr>
            </w:div>
          </w:divsChild>
        </w:div>
        <w:div w:id="1771732500">
          <w:marLeft w:val="0"/>
          <w:marRight w:val="0"/>
          <w:marTop w:val="0"/>
          <w:marBottom w:val="15"/>
          <w:divBdr>
            <w:top w:val="single" w:sz="6" w:space="4" w:color="DBDBE4"/>
            <w:left w:val="single" w:sz="6" w:space="0" w:color="DBDBE4"/>
            <w:bottom w:val="single" w:sz="6" w:space="4" w:color="DBDBE4"/>
            <w:right w:val="single" w:sz="6" w:space="0" w:color="DBDBE4"/>
          </w:divBdr>
          <w:divsChild>
            <w:div w:id="1539004008">
              <w:marLeft w:val="0"/>
              <w:marRight w:val="0"/>
              <w:marTop w:val="0"/>
              <w:marBottom w:val="0"/>
              <w:divBdr>
                <w:top w:val="none" w:sz="0" w:space="0" w:color="auto"/>
                <w:left w:val="single" w:sz="6" w:space="11" w:color="DBDBE4"/>
                <w:bottom w:val="none" w:sz="0" w:space="0" w:color="auto"/>
                <w:right w:val="single" w:sz="6" w:space="11" w:color="DBDBE4"/>
              </w:divBdr>
            </w:div>
            <w:div w:id="2057310238">
              <w:marLeft w:val="0"/>
              <w:marRight w:val="0"/>
              <w:marTop w:val="0"/>
              <w:marBottom w:val="0"/>
              <w:divBdr>
                <w:top w:val="none" w:sz="0" w:space="0" w:color="auto"/>
                <w:left w:val="none" w:sz="0" w:space="0" w:color="auto"/>
                <w:bottom w:val="none" w:sz="0" w:space="0" w:color="auto"/>
                <w:right w:val="none" w:sz="0" w:space="0" w:color="auto"/>
              </w:divBdr>
            </w:div>
          </w:divsChild>
        </w:div>
        <w:div w:id="1227454295">
          <w:marLeft w:val="0"/>
          <w:marRight w:val="0"/>
          <w:marTop w:val="0"/>
          <w:marBottom w:val="15"/>
          <w:divBdr>
            <w:top w:val="single" w:sz="6" w:space="4" w:color="DBDBE4"/>
            <w:left w:val="single" w:sz="6" w:space="0" w:color="DBDBE4"/>
            <w:bottom w:val="single" w:sz="6" w:space="4" w:color="DBDBE4"/>
            <w:right w:val="single" w:sz="6" w:space="0" w:color="DBDBE4"/>
          </w:divBdr>
          <w:divsChild>
            <w:div w:id="4595285">
              <w:marLeft w:val="0"/>
              <w:marRight w:val="0"/>
              <w:marTop w:val="0"/>
              <w:marBottom w:val="0"/>
              <w:divBdr>
                <w:top w:val="none" w:sz="0" w:space="0" w:color="auto"/>
                <w:left w:val="single" w:sz="6" w:space="11" w:color="DBDBE4"/>
                <w:bottom w:val="none" w:sz="0" w:space="0" w:color="auto"/>
                <w:right w:val="single" w:sz="6" w:space="11" w:color="DBDBE4"/>
              </w:divBdr>
            </w:div>
            <w:div w:id="11883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1837">
      <w:bodyDiv w:val="1"/>
      <w:marLeft w:val="0"/>
      <w:marRight w:val="0"/>
      <w:marTop w:val="0"/>
      <w:marBottom w:val="0"/>
      <w:divBdr>
        <w:top w:val="none" w:sz="0" w:space="0" w:color="auto"/>
        <w:left w:val="none" w:sz="0" w:space="0" w:color="auto"/>
        <w:bottom w:val="none" w:sz="0" w:space="0" w:color="auto"/>
        <w:right w:val="none" w:sz="0" w:space="0" w:color="auto"/>
      </w:divBdr>
    </w:div>
    <w:div w:id="1873221662">
      <w:bodyDiv w:val="1"/>
      <w:marLeft w:val="0"/>
      <w:marRight w:val="0"/>
      <w:marTop w:val="0"/>
      <w:marBottom w:val="0"/>
      <w:divBdr>
        <w:top w:val="none" w:sz="0" w:space="0" w:color="auto"/>
        <w:left w:val="none" w:sz="0" w:space="0" w:color="auto"/>
        <w:bottom w:val="none" w:sz="0" w:space="0" w:color="auto"/>
        <w:right w:val="none" w:sz="0" w:space="0" w:color="auto"/>
      </w:divBdr>
    </w:div>
    <w:div w:id="1908150564">
      <w:bodyDiv w:val="1"/>
      <w:marLeft w:val="0"/>
      <w:marRight w:val="0"/>
      <w:marTop w:val="0"/>
      <w:marBottom w:val="0"/>
      <w:divBdr>
        <w:top w:val="none" w:sz="0" w:space="0" w:color="auto"/>
        <w:left w:val="none" w:sz="0" w:space="0" w:color="auto"/>
        <w:bottom w:val="none" w:sz="0" w:space="0" w:color="auto"/>
        <w:right w:val="none" w:sz="0" w:space="0" w:color="auto"/>
      </w:divBdr>
    </w:div>
    <w:div w:id="1909608564">
      <w:bodyDiv w:val="1"/>
      <w:marLeft w:val="0"/>
      <w:marRight w:val="0"/>
      <w:marTop w:val="0"/>
      <w:marBottom w:val="0"/>
      <w:divBdr>
        <w:top w:val="none" w:sz="0" w:space="0" w:color="auto"/>
        <w:left w:val="none" w:sz="0" w:space="0" w:color="auto"/>
        <w:bottom w:val="none" w:sz="0" w:space="0" w:color="auto"/>
        <w:right w:val="none" w:sz="0" w:space="0" w:color="auto"/>
      </w:divBdr>
    </w:div>
    <w:div w:id="1976786838">
      <w:bodyDiv w:val="1"/>
      <w:marLeft w:val="0"/>
      <w:marRight w:val="0"/>
      <w:marTop w:val="0"/>
      <w:marBottom w:val="0"/>
      <w:divBdr>
        <w:top w:val="none" w:sz="0" w:space="0" w:color="auto"/>
        <w:left w:val="none" w:sz="0" w:space="0" w:color="auto"/>
        <w:bottom w:val="none" w:sz="0" w:space="0" w:color="auto"/>
        <w:right w:val="none" w:sz="0" w:space="0" w:color="auto"/>
      </w:divBdr>
    </w:div>
    <w:div w:id="2014527967">
      <w:bodyDiv w:val="1"/>
      <w:marLeft w:val="0"/>
      <w:marRight w:val="0"/>
      <w:marTop w:val="0"/>
      <w:marBottom w:val="0"/>
      <w:divBdr>
        <w:top w:val="none" w:sz="0" w:space="0" w:color="auto"/>
        <w:left w:val="none" w:sz="0" w:space="0" w:color="auto"/>
        <w:bottom w:val="none" w:sz="0" w:space="0" w:color="auto"/>
        <w:right w:val="none" w:sz="0" w:space="0" w:color="auto"/>
      </w:divBdr>
    </w:div>
    <w:div w:id="2041129744">
      <w:bodyDiv w:val="1"/>
      <w:marLeft w:val="0"/>
      <w:marRight w:val="0"/>
      <w:marTop w:val="0"/>
      <w:marBottom w:val="0"/>
      <w:divBdr>
        <w:top w:val="none" w:sz="0" w:space="0" w:color="auto"/>
        <w:left w:val="none" w:sz="0" w:space="0" w:color="auto"/>
        <w:bottom w:val="none" w:sz="0" w:space="0" w:color="auto"/>
        <w:right w:val="none" w:sz="0" w:space="0" w:color="auto"/>
      </w:divBdr>
    </w:div>
    <w:div w:id="2073188841">
      <w:bodyDiv w:val="1"/>
      <w:marLeft w:val="0"/>
      <w:marRight w:val="0"/>
      <w:marTop w:val="0"/>
      <w:marBottom w:val="0"/>
      <w:divBdr>
        <w:top w:val="none" w:sz="0" w:space="0" w:color="auto"/>
        <w:left w:val="none" w:sz="0" w:space="0" w:color="auto"/>
        <w:bottom w:val="none" w:sz="0" w:space="0" w:color="auto"/>
        <w:right w:val="none" w:sz="0" w:space="0" w:color="auto"/>
      </w:divBdr>
    </w:div>
    <w:div w:id="212233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1714</TotalTime>
  <Pages>22</Pages>
  <Words>6039</Words>
  <Characters>32495</Characters>
  <Application>Microsoft Office Word</Application>
  <DocSecurity>0</DocSecurity>
  <Lines>507</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iarboleda</dc:creator>
  <cp:lastModifiedBy>Microsoft Office User</cp:lastModifiedBy>
  <cp:revision>79</cp:revision>
  <cp:lastPrinted>2024-03-05T18:19:00Z</cp:lastPrinted>
  <dcterms:created xsi:type="dcterms:W3CDTF">2024-03-05T15:59:00Z</dcterms:created>
  <dcterms:modified xsi:type="dcterms:W3CDTF">2024-03-11T22:36:00Z</dcterms:modified>
</cp:coreProperties>
</file>